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A02  ·  РАБОЧИЙ ИНСТРУМЕНТ</w:t>
      </w:r>
    </w:p>
    <w:p>
      <w:pPr>
        <w:pStyle w:val="CITitle"/>
      </w:pPr>
      <w:r>
        <w:t>Управление бизнес-процессами</w:t>
      </w:r>
    </w:p>
    <w:p>
      <w:pPr>
        <w:pStyle w:val="CISubtitle"/>
      </w:pPr>
      <w:r>
        <w:t>Как перейти от симптомов и итоговых KPI к проверяемым улучшениям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Дать руководителю общую логику диагностики и пилота за 5-7 минут чтения.</w:t>
      </w:r>
    </w:p>
    <w:p>
      <w:pPr>
        <w:pStyle w:val="Heading1"/>
      </w:pPr>
      <w:r>
        <w:t>Главная управленческая мысль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E94840"/>
        </w:pBdr>
      </w:pPr>
      <w:r>
        <w:rPr>
          <w:rFonts w:ascii="Avenir Next Cyr" w:hAnsi="Avenir Next Cyr" w:eastAsia="Avenir Next Cyr" w:cs="Avenir Next Cyr"/>
          <w:b/>
          <w:color w:val="E94840"/>
          <w:sz w:val="21"/>
        </w:rPr>
        <w:t xml:space="preserve">Решение.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Не усиливать контроль до того, как понятен фактический маршрут работы. Сначала открыть «черный ящик», отделить работу от ожидания и проверить одну причинную гипотезу в измеримом пилоте.</w:t>
      </w:r>
    </w:p>
    <w:p>
      <w:pPr>
        <w:keepNext w:val="0"/>
        <w:keepLines w:val="0"/>
        <w:spacing w:before="0" w:after="120" w:line="300" w:lineRule="auto"/>
      </w:pPr>
      <w:r>
        <w:rPr>
          <w:rFonts w:ascii="Avenir Next Cyr" w:hAnsi="Avenir Next Cyr" w:eastAsia="Avenir Next Cyr" w:cs="Avenir Next Cyr"/>
          <w:color w:val="003A49"/>
          <w:sz w:val="22"/>
        </w:rPr>
        <w:t>Итоговые KPI показывают, что произошло: срок нарушен, затраты выросли, возвратов стало больше. Но источник отклонения обычно находится между входом и результатом — в очередях, передачах, повторных операциях и неоднозначных критериях приемки.</w:t>
      </w:r>
    </w:p>
    <w:p>
      <w:pPr>
        <w:pStyle w:val="Heading2"/>
      </w:pPr>
      <w:r>
        <w:t>Почему типовые реакции не помогают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Дополнительный контроль не устраняет неясный критерий приемки.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Новый сотрудник не меняет очередь, созданную правилами согласования.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Новая отчетность увеличивает нагрузку, если данные уже вводятся повторно.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Локальное ускорение одного отдела может лишь увеличить очередь на следующем этапе.</w:t>
      </w:r>
    </w:p>
    <w:p>
      <w:pPr>
        <w:pStyle w:val="Heading1"/>
      </w:pPr>
      <w:r>
        <w:t>Шесть шагов управляемого улучшения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2450"/>
        <w:gridCol w:w="6190"/>
      </w:tblGrid>
      <w:tr>
        <w:trPr>
          <w:tblHeader w:val="true"/>
          <w:cantSplit/>
        </w:trPr>
        <w:tc>
          <w:tcPr>
            <w:tcW w:type="dxa" w:w="7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Шаг</w:t>
            </w:r>
          </w:p>
        </w:tc>
        <w:tc>
          <w:tcPr>
            <w:tcW w:type="dxa" w:w="24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Действие</w:t>
            </w:r>
          </w:p>
        </w:tc>
        <w:tc>
          <w:tcPr>
            <w:tcW w:type="dxa" w:w="619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Управленческий результат</w:t>
            </w:r>
          </w:p>
        </w:tc>
      </w:tr>
      <w:tr>
        <w:trPr>
          <w:cantSplit/>
        </w:trPr>
        <w:tc>
          <w:tcPr>
            <w:tcW w:type="dxa" w:w="7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1</w:t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Выбрать процесс</w:t>
            </w:r>
          </w:p>
        </w:tc>
        <w:tc>
          <w:tcPr>
            <w:tcW w:type="dxa" w:w="619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Конкретный вход, результат и клиент; заметное влияние на срок, качество или затраты.</w:t>
            </w:r>
          </w:p>
        </w:tc>
      </w:tr>
      <w:tr>
        <w:trPr>
          <w:cantSplit/>
        </w:trPr>
        <w:tc>
          <w:tcPr>
            <w:tcW w:type="dxa" w:w="7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2</w:t>
            </w:r>
          </w:p>
        </w:tc>
        <w:tc>
          <w:tcPr>
            <w:tcW w:type="dxa" w:w="2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Зафиксировать «как есть»</w:t>
            </w:r>
          </w:p>
        </w:tc>
        <w:tc>
          <w:tcPr>
            <w:tcW w:type="dxa" w:w="619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Фактические этапы, роли, критерии завершения, передачи, исключения и обходные действия.</w:t>
            </w:r>
          </w:p>
        </w:tc>
      </w:tr>
      <w:tr>
        <w:trPr>
          <w:cantSplit/>
        </w:trPr>
        <w:tc>
          <w:tcPr>
            <w:tcW w:type="dxa" w:w="7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3</w:t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Наблюдать работу</w:t>
            </w:r>
          </w:p>
        </w:tc>
        <w:tc>
          <w:tcPr>
            <w:tcW w:type="dxa" w:w="619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Проверить, где берутся данные, что делается вручную, где ждут, возвращают и дублируют.</w:t>
            </w:r>
          </w:p>
        </w:tc>
      </w:tr>
      <w:tr>
        <w:trPr>
          <w:cantSplit/>
        </w:trPr>
        <w:tc>
          <w:tcPr>
            <w:tcW w:type="dxa" w:w="7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4</w:t>
            </w:r>
          </w:p>
        </w:tc>
        <w:tc>
          <w:tcPr>
            <w:tcW w:type="dxa" w:w="2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Измерить потери</w:t>
            </w:r>
          </w:p>
        </w:tc>
        <w:tc>
          <w:tcPr>
            <w:tcW w:type="dxa" w:w="619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Разделить время работы и ожидания; собрать частоту, влияние и доказательства.</w:t>
            </w:r>
          </w:p>
        </w:tc>
      </w:tr>
      <w:tr>
        <w:trPr>
          <w:cantSplit/>
        </w:trPr>
        <w:tc>
          <w:tcPr>
            <w:tcW w:type="dxa" w:w="7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5</w:t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Проверить одну гипотезу</w:t>
            </w:r>
          </w:p>
        </w:tc>
        <w:tc>
          <w:tcPr>
            <w:tcW w:type="dxa" w:w="619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Внести одно контролируемое изменение на ограниченном участке и периоде.</w:t>
            </w:r>
          </w:p>
        </w:tc>
      </w:tr>
      <w:tr>
        <w:trPr>
          <w:cantSplit/>
        </w:trPr>
        <w:tc>
          <w:tcPr>
            <w:tcW w:type="dxa" w:w="7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6</w:t>
            </w:r>
          </w:p>
        </w:tc>
        <w:tc>
          <w:tcPr>
            <w:tcW w:type="dxa" w:w="2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Принять решение</w:t>
            </w:r>
          </w:p>
        </w:tc>
        <w:tc>
          <w:tcPr>
            <w:tcW w:type="dxa" w:w="619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Корректировать, повторить, масштабировать или отказаться; автоматизировать только устойчивый маршрут.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На что смотреть в процессе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50"/>
        <w:gridCol w:w="3100"/>
        <w:gridCol w:w="3710"/>
      </w:tblGrid>
      <w:tr>
        <w:trPr>
          <w:tblHeader w:val="true"/>
          <w:cantSplit/>
        </w:trPr>
        <w:tc>
          <w:tcPr>
            <w:tcW w:type="dxa" w:w="25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31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Что фиксирует</w:t>
            </w:r>
          </w:p>
        </w:tc>
        <w:tc>
          <w:tcPr>
            <w:tcW w:type="dxa" w:w="371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Зачем нужен</w:t>
            </w:r>
          </w:p>
        </w:tc>
      </w:tr>
      <w:tr>
        <w:trPr>
          <w:cantSplit/>
        </w:trPr>
        <w:tc>
          <w:tcPr>
            <w:tcW w:type="dxa" w:w="2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Длительность цикла</w:t>
            </w:r>
          </w:p>
        </w:tc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Время от входа до результата</w:t>
            </w:r>
          </w:p>
        </w:tc>
        <w:tc>
          <w:tcPr>
            <w:tcW w:type="dxa" w:w="371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Показывает общий клиентский срок</w:t>
            </w:r>
          </w:p>
        </w:tc>
      </w:tr>
      <w:tr>
        <w:trPr>
          <w:cantSplit/>
        </w:trPr>
        <w:tc>
          <w:tcPr>
            <w:tcW w:type="dxa" w:w="2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Время ожидания</w:t>
            </w:r>
          </w:p>
        </w:tc>
        <w:tc>
          <w:tcPr>
            <w:tcW w:type="dxa" w:w="3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Периоды без обработки</w:t>
            </w:r>
          </w:p>
        </w:tc>
        <w:tc>
          <w:tcPr>
            <w:tcW w:type="dxa" w:w="371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Дает координаты очередей и согласований</w:t>
            </w:r>
          </w:p>
        </w:tc>
      </w:tr>
      <w:tr>
        <w:trPr>
          <w:cantSplit/>
        </w:trPr>
        <w:tc>
          <w:tcPr>
            <w:tcW w:type="dxa" w:w="2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Возвраты</w:t>
            </w:r>
          </w:p>
        </w:tc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Доля и причины доработок</w:t>
            </w:r>
          </w:p>
        </w:tc>
        <w:tc>
          <w:tcPr>
            <w:tcW w:type="dxa" w:w="371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Проверяет качество передачи</w:t>
            </w:r>
          </w:p>
        </w:tc>
      </w:tr>
      <w:tr>
        <w:trPr>
          <w:cantSplit/>
        </w:trPr>
        <w:tc>
          <w:tcPr>
            <w:tcW w:type="dxa" w:w="25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Незавершенная работа</w:t>
            </w:r>
          </w:p>
        </w:tc>
        <w:tc>
          <w:tcPr>
            <w:tcW w:type="dxa" w:w="3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Объем объектов в потоке</w:t>
            </w:r>
          </w:p>
        </w:tc>
        <w:tc>
          <w:tcPr>
            <w:tcW w:type="dxa" w:w="371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Показывает накопление и ограничение</w:t>
            </w:r>
          </w:p>
        </w:tc>
      </w:tr>
      <w:tr>
        <w:trPr>
          <w:cantSplit/>
        </w:trPr>
        <w:tc>
          <w:tcPr>
            <w:tcW w:type="dxa" w:w="25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Пропускная способность</w:t>
            </w:r>
          </w:p>
        </w:tc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Завершенные объекты за период</w:t>
            </w:r>
          </w:p>
        </w:tc>
        <w:tc>
          <w:tcPr>
            <w:tcW w:type="dxa" w:w="371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Показывает результат всего потока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Решения для первого цикла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Не картировать все предприятие: выбрать один повторяемый и значимый процесс.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Не назначать узкое место по загрузке: проверить, где накапливается работа и что задерживает конечный результат.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Не путать наблюдение с оценкой личности: фиксировать устройство маршрута и условий работы.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Не сравнивать несопоставимые периоды: заранее определить состав нагрузки, границы и внешние факторы.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7A92"/>
          <w:sz w:val="21"/>
        </w:rPr>
        <w:t xml:space="preserve">Старт. </w:t>
      </w:r>
      <w:r>
        <w:rPr>
          <w:rFonts w:ascii="Avenir Next Cyr" w:hAnsi="Avenir Next Cyr" w:eastAsia="Avenir Next Cyr" w:cs="Avenir Next Cyr"/>
          <w:color w:val="003A49"/>
          <w:sz w:val="21"/>
        </w:rPr>
        <w:t>Первичный аудит должен закончиться не «идеальной схемой», а проверяемой картиной: где теряется время, какое ограничение влияет на поток и какое одно изменение стоит испытать первым.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A02  ·  Executive brief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brief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