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spacing w:before="100" w:after="80" w:line="240" w:lineRule="auto"/>
      </w:pPr>
      <w:r>
        <w:rPr>
          <w:rFonts w:ascii="Avenir Next Cyr" w:hAnsi="Avenir Next Cyr" w:eastAsia="Avenir Next Cyr" w:cs="Avenir Next Cyr"/>
          <w:b/>
          <w:color w:val="E94840"/>
          <w:sz w:val="18"/>
        </w:rPr>
        <w:t>C02  ·  РАБОЧИЙ ИНСТРУМЕНТ</w:t>
      </w:r>
    </w:p>
    <w:p>
      <w:pPr>
        <w:pStyle w:val="CITitle"/>
      </w:pPr>
      <w:r>
        <w:t>Charter измеримого пилота</w:t>
      </w:r>
    </w:p>
    <w:p>
      <w:pPr>
        <w:pStyle w:val="CISubtitle"/>
      </w:pPr>
      <w:r>
        <w:t>Проверка одной причинной гипотезы в контролируемых границах</w:t>
      </w:r>
    </w:p>
    <w:p>
      <w:pPr>
        <w:keepNext w:val="0"/>
        <w:keepLines/>
        <w:spacing w:before="0" w:after="28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3A49"/>
          <w:sz w:val="21"/>
        </w:rPr>
        <w:t xml:space="preserve">Назначение. </w:t>
      </w:r>
      <w:r>
        <w:rPr>
          <w:rFonts w:ascii="Avenir Next Cyr" w:hAnsi="Avenir Next Cyr" w:eastAsia="Avenir Next Cyr" w:cs="Avenir Next Cyr"/>
          <w:color w:val="003A49"/>
          <w:sz w:val="21"/>
        </w:rPr>
        <w:t>Заранее определить изменение, измерение и критерии решения, чтобы не объявлять любой результат успехом.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Название пилота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Процесс / участок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Владелец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Период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Начало / конец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Статус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Draft / Approved / Running / Closed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1. Проблема и гипотеза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Наблюдаемый симптом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Факт и влияние на сквозной результат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Повторяемый сценарий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Категория задач, частота, условия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Доказательства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Finding IDs, данные, наблюдения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Причинная гипотеза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Если причина верна, то изменение приведет к ожидаемому эффекту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Альтернативные объяснения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Что еще может давать тот же симптом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2. Одно изменение и границы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Изменение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Одно конкретное правило, шаг или способ передачи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Что не меняем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Системы, роли или этапы вне проверки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Входящие категории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Какие случаи входят в пилот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Исключения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Какие случаи исключены и почему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Участники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Роли и обязанности на период пилота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Поддержка / эскалация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Кому сообщать об отклонении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3. План измерения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000"/>
        <w:gridCol w:w="1450"/>
        <w:gridCol w:w="1550"/>
        <w:gridCol w:w="1560"/>
      </w:tblGrid>
      <w:tr>
        <w:trPr>
          <w:tblHeader w:val="true"/>
          <w:cantSplit/>
        </w:trPr>
        <w:tc>
          <w:tcPr>
            <w:tcW w:type="dxa" w:w="18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Роль</w:t>
            </w:r>
          </w:p>
        </w:tc>
        <w:tc>
          <w:tcPr>
            <w:tcW w:type="dxa" w:w="30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Определение</w:t>
            </w:r>
          </w:p>
        </w:tc>
        <w:tc>
          <w:tcPr>
            <w:tcW w:type="dxa" w:w="14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Baseline</w:t>
            </w:r>
          </w:p>
        </w:tc>
        <w:tc>
          <w:tcPr>
            <w:tcW w:type="dxa" w:w="15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Цель / порог</w:t>
            </w:r>
          </w:p>
        </w:tc>
        <w:tc>
          <w:tcPr>
            <w:tcW w:type="dxa" w:w="15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Источник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7"/>
              </w:rPr>
              <w:t>Основная метрика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4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5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5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7"/>
              </w:rPr>
              <w:t>Качество передачи</w:t>
            </w:r>
          </w:p>
        </w:tc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4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5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5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7"/>
              </w:rPr>
              <w:t>Контрольная метрика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4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5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5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Состав нагрузки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Объем, категории, сезонность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Период сравнения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Почему периоды сопоставимы</w:t>
            </w:r>
          </w:p>
        </w:tc>
      </w:tr>
      <w:tr>
        <w:trPr>
          <w:cantSplit/>
        </w:trPr>
        <w:tc>
          <w:tcPr>
            <w:tcW w:type="dxa" w:w="2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Внешние факторы</w:t>
            </w:r>
          </w:p>
        </w:tc>
        <w:tc>
          <w:tcPr>
            <w:tcW w:type="dxa" w:w="6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Параллельные изменения, сбои, отпуска, поставщики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4. Риски и защитные условия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80"/>
        <w:gridCol w:w="2500"/>
        <w:gridCol w:w="1900"/>
        <w:gridCol w:w="2880"/>
        <w:gridCol w:w="1600"/>
      </w:tblGrid>
      <w:tr>
        <w:trPr>
          <w:tblHeader w:val="true"/>
          <w:cantSplit/>
        </w:trPr>
        <w:tc>
          <w:tcPr>
            <w:tcW w:type="dxa" w:w="48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№</w:t>
            </w:r>
          </w:p>
        </w:tc>
        <w:tc>
          <w:tcPr>
            <w:tcW w:type="dxa" w:w="25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Риск / побочный эффект</w:t>
            </w:r>
          </w:p>
        </w:tc>
        <w:tc>
          <w:tcPr>
            <w:tcW w:type="dxa" w:w="19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Сигнал</w:t>
            </w:r>
          </w:p>
        </w:tc>
        <w:tc>
          <w:tcPr>
            <w:tcW w:type="dxa" w:w="288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Действие</w:t>
            </w:r>
          </w:p>
        </w:tc>
        <w:tc>
          <w:tcPr>
            <w:tcW w:type="dxa" w:w="16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Владелец</w:t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  <w:t>1</w:t>
            </w:r>
          </w:p>
        </w:tc>
        <w:tc>
          <w:tcPr>
            <w:tcW w:type="dxa" w:w="25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9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6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  <w:t>2</w:t>
            </w:r>
          </w:p>
        </w:tc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9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28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  <w:t>3</w:t>
            </w:r>
          </w:p>
        </w:tc>
        <w:tc>
          <w:tcPr>
            <w:tcW w:type="dxa" w:w="25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9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6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  <w:t>4</w:t>
            </w:r>
          </w:p>
        </w:tc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9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28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5. Критерии решения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Решение</w:t>
            </w:r>
          </w:p>
        </w:tc>
        <w:tc>
          <w:tcPr>
            <w:tcW w:type="dxa" w:w="71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Условие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8"/>
              </w:rPr>
              <w:t>Масштабировать</w:t>
            </w:r>
          </w:p>
        </w:tc>
        <w:tc>
          <w:tcPr>
            <w:tcW w:type="dxa" w:w="71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Основная метрика улучшилась; качество следующей передачи не ухудшилось; эффект устойчив.</w:t>
            </w:r>
          </w:p>
        </w:tc>
      </w:tr>
      <w:tr>
        <w:trPr>
          <w:cantSplit/>
        </w:trPr>
        <w:tc>
          <w:tcPr>
            <w:tcW w:type="dxa" w:w="22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8"/>
              </w:rPr>
              <w:t>Повторить</w:t>
            </w:r>
          </w:p>
        </w:tc>
        <w:tc>
          <w:tcPr>
            <w:tcW w:type="dxa" w:w="71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Сигнал положительный, но выборка мала или внешние факторы мешают выводу.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8"/>
              </w:rPr>
              <w:t>Корректировать</w:t>
            </w:r>
          </w:p>
        </w:tc>
        <w:tc>
          <w:tcPr>
            <w:tcW w:type="dxa" w:w="71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Гипотеза частично подтверждена; обнаружен управляемый дефект реализации.</w:t>
            </w:r>
          </w:p>
        </w:tc>
      </w:tr>
      <w:tr>
        <w:trPr>
          <w:cantSplit/>
        </w:trPr>
        <w:tc>
          <w:tcPr>
            <w:tcW w:type="dxa" w:w="22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8"/>
              </w:rPr>
              <w:t>Отказаться</w:t>
            </w:r>
          </w:p>
        </w:tc>
        <w:tc>
          <w:tcPr>
            <w:tcW w:type="dxa" w:w="71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Эффекта нет, качество ухудшилось или причинная гипотеза опровергнута.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r>
        <w:br w:type="page"/>
      </w:r>
    </w:p>
    <w:p>
      <w:pPr>
        <w:pStyle w:val="Heading1"/>
      </w:pPr>
      <w:r>
        <w:t>6. Допуск к запуску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cantSplit/>
        </w:trPr>
        <w:tc>
          <w:tcPr>
            <w:tcW w:type="dxa" w:w="2500"/>
            <w:shd w:fill="F8F9FA" w:val="clear"/>
            <w:tcMar>
              <w:top w:w="180" w:type="dxa"/>
              <w:bottom w:w="18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Решение</w:t>
            </w:r>
          </w:p>
        </w:tc>
        <w:tc>
          <w:tcPr>
            <w:tcW w:type="dxa" w:w="6860"/>
            <w:tcMar>
              <w:top w:w="180" w:type="dxa"/>
              <w:bottom w:w="18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Запустить / доработать / не запускать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180" w:type="dxa"/>
              <w:bottom w:w="18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Спонсор</w:t>
            </w:r>
          </w:p>
        </w:tc>
        <w:tc>
          <w:tcPr>
            <w:tcW w:type="dxa" w:w="6860"/>
            <w:tcMar>
              <w:top w:w="180" w:type="dxa"/>
              <w:bottom w:w="18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ФИО / роль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180" w:type="dxa"/>
              <w:bottom w:w="18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Владелец процесса</w:t>
            </w:r>
          </w:p>
        </w:tc>
        <w:tc>
          <w:tcPr>
            <w:tcW w:type="dxa" w:w="6860"/>
            <w:tcMar>
              <w:top w:w="180" w:type="dxa"/>
              <w:bottom w:w="18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ФИО / роль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180" w:type="dxa"/>
              <w:bottom w:w="18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Дата review</w:t>
            </w:r>
          </w:p>
        </w:tc>
        <w:tc>
          <w:tcPr>
            <w:tcW w:type="dxa" w:w="6860"/>
            <w:tcMar>
              <w:top w:w="180" w:type="dxa"/>
              <w:bottom w:w="18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180" w:type="dxa"/>
              <w:bottom w:w="18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Канал фиксации наблюдений</w:t>
            </w:r>
          </w:p>
        </w:tc>
        <w:tc>
          <w:tcPr>
            <w:tcW w:type="dxa" w:w="6860"/>
            <w:tcMar>
              <w:top w:w="180" w:type="dxa"/>
              <w:bottom w:w="18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keepNext w:val="0"/>
        <w:keepLines/>
        <w:spacing w:before="80" w:after="20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7A92"/>
          <w:sz w:val="21"/>
        </w:rPr>
        <w:t xml:space="preserve">Принцип. </w:t>
      </w:r>
      <w:r>
        <w:rPr>
          <w:rFonts w:ascii="Avenir Next Cyr" w:hAnsi="Avenir Next Cyr" w:eastAsia="Avenir Next Cyr" w:cs="Avenir Next Cyr"/>
          <w:color w:val="003A49"/>
          <w:sz w:val="21"/>
        </w:rPr>
        <w:t>Автоматизация и масштабирование — последующие решения. Пилот сначала должен подтвердить, что упрощенный маршрут работает и измеримо улучшает сквозной результат.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left"/>
      <w:pBdr>
        <w:bottom w:val="single" w:sz="8" w:space="2" w:color="E4E4E4"/>
      </w:pBdr>
    </w:pPr>
    <w:r/>
    <w:r>
      <w:rPr>
        <w:rFonts w:ascii="Avenir Next Cyr" w:hAnsi="Avenir Next Cyr" w:eastAsia="Avenir Next Cyr" w:cs="Avenir Next Cyr"/>
        <w:color w:val="737373"/>
        <w:sz w:val="17"/>
      </w:rPr>
      <w:t>CI CONSULT  ·  Управление бизнес-процессами</w:t>
    </w:r>
    <w:r>
      <w:rPr>
        <w:rFonts w:ascii="Avenir Next Cyr" w:hAnsi="Avenir Next Cyr" w:eastAsia="Avenir Next Cyr" w:cs="Avenir Next Cyr"/>
        <w:sz w:val="17"/>
      </w:rPr>
      <w:t xml:space="preserve">                                      </w:t>
    </w:r>
    <w:r>
      <w:rPr>
        <w:rFonts w:ascii="Avenir Next Cyr" w:hAnsi="Avenir Next Cyr" w:eastAsia="Avenir Next Cyr" w:cs="Avenir Next Cyr"/>
        <w:color w:val="737373"/>
        <w:sz w:val="17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>
      <w:rPr>
        <w:rFonts w:ascii="Avenir Next Cyr" w:hAnsi="Avenir Next Cyr" w:eastAsia="Avenir Next Cyr" w:cs="Avenir Next Cyr"/>
        <w:color w:val="737373"/>
        <w:sz w:val="17"/>
      </w:rPr>
      <w:t>1</w:t>
    </w:r>
    <w:r>
      <w:rPr>
        <w:rFonts w:ascii="Avenir Next Cyr" w:hAnsi="Avenir Next Cyr" w:eastAsia="Avenir Next Cyr" w:cs="Avenir Next Cyr"/>
        <w:color w:val="737373"/>
        <w:sz w:val="17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40" w:lineRule="auto"/>
    </w:pPr>
    <w:r/>
  </w:p>
  <w:tbl>
    <w:tblPr>
      <w:tblW w:type="dxa" w:w="9360"/>
      <w:tblLayout w:type="fixed"/>
      <w:tblLook w:firstColumn="1" w:firstRow="1" w:lastColumn="0" w:lastRow="0" w:noHBand="0" w:noVBand="1" w:val="04A0"/>
      <w:tblInd w:w="0" w:type="dxa"/>
    </w:tblPr>
    <w:tblGrid>
      <w:gridCol w:w="2400"/>
      <w:gridCol w:w="6960"/>
    </w:tblGrid>
    <w:tr>
      <w:tc>
        <w:tcPr>
          <w:tcW w:type="dxa" w:w="240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8448" cy="258391"/>
                <wp:docPr id="1" name="Picture 1" title="CI CONSULT" descr="Логотип CI CONSULT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dark-blue-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8448" cy="25839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96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right"/>
            <w:pBdr>
              <w:bottom w:val="single" w:sz="8" w:space="2" w:color="00A3C2"/>
            </w:pBdr>
          </w:pPr>
          <w:r>
            <w:rPr>
              <w:rFonts w:ascii="Avenir Next Cyr" w:hAnsi="Avenir Next Cyr" w:eastAsia="Avenir Next Cyr" w:cs="Avenir Next Cyr"/>
              <w:b/>
              <w:color w:val="737373"/>
              <w:sz w:val="17"/>
            </w:rPr>
            <w:t>C02  ·  Charter измеримого пилота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venir Next Cyr" w:hAnsi="Avenir Next Cyr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venir Next Cyr" w:hAnsi="Avenir Next Cyr" w:eastAsia="Avenir Next Cyr" w:cs="Avenir Next Cyr"/>
      <w:color w:val="003A4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59" w:lineRule="auto"/>
      <w:outlineLvl w:val="0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7A9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Title">
    <w:name w:val="CI Title"/>
    <w:pPr>
      <w:keepNext/>
      <w:spacing w:before="80" w:after="140" w:line="240" w:lineRule="auto"/>
    </w:pPr>
    <w:rPr>
      <w:rFonts w:ascii="Avenir Next Cyr" w:hAnsi="Avenir Next Cyr" w:eastAsia="Avenir Next Cyr" w:cs="Avenir Next Cyr"/>
      <w:b/>
      <w:color w:val="003A49"/>
      <w:sz w:val="46"/>
    </w:rPr>
  </w:style>
  <w:style w:type="paragraph" w:customStyle="1" w:styleId="CISubtitle">
    <w:name w:val="CI Subtitle"/>
    <w:pPr>
      <w:spacing w:before="0" w:after="240" w:line="288" w:lineRule="auto"/>
    </w:pPr>
    <w:rPr>
      <w:rFonts w:ascii="Avenir Next Cyr" w:hAnsi="Avenir Next Cyr" w:eastAsia="Avenir Next Cyr" w:cs="Avenir Next Cyr"/>
      <w:color w:val="737373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Charter измеримого пилота</dc:title>
  <dc:subject>Рабочий документ CI CONSULT по управлению бизнес-процессами</dc:subject>
  <dc:creator>CI CONSULT</dc:creator>
  <cp:keywords>CI CONSULT, бизнес-процессы, потери, улучшения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