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 w:val="0"/>
        <w:spacing w:before="100" w:after="80" w:line="240" w:lineRule="auto"/>
      </w:pPr>
      <w:r>
        <w:rPr>
          <w:rFonts w:ascii="Avenir Next Cyr" w:hAnsi="Avenir Next Cyr" w:eastAsia="Avenir Next Cyr" w:cs="Avenir Next Cyr"/>
          <w:b/>
          <w:color w:val="E94840"/>
          <w:sz w:val="18"/>
        </w:rPr>
        <w:t>B08  ·  РАБОЧИЙ ИНСТРУМЕНТ</w:t>
      </w:r>
    </w:p>
    <w:p>
      <w:pPr>
        <w:pStyle w:val="CITitle"/>
      </w:pPr>
      <w:r>
        <w:t>Реестр потерь и узких мест</w:t>
      </w:r>
    </w:p>
    <w:p>
      <w:pPr>
        <w:pStyle w:val="CISubtitle"/>
      </w:pPr>
      <w:r>
        <w:t>Единая база наблюдений, доказательств и приоритетов</w:t>
      </w:r>
    </w:p>
    <w:p>
      <w:pPr>
        <w:keepNext w:val="0"/>
        <w:keepLines/>
        <w:spacing w:before="0" w:after="280" w:line="300" w:lineRule="auto"/>
        <w:shd w:fill="F8F9FA" w:val="clear"/>
        <w:pBdr>
          <w:left w:val="single" w:sz="20" w:space="8" w:color="007A92"/>
        </w:pBdr>
      </w:pPr>
      <w:r>
        <w:rPr>
          <w:rFonts w:ascii="Avenir Next Cyr" w:hAnsi="Avenir Next Cyr" w:eastAsia="Avenir Next Cyr" w:cs="Avenir Next Cyr"/>
          <w:b/>
          <w:color w:val="003A49"/>
          <w:sz w:val="21"/>
        </w:rPr>
        <w:t xml:space="preserve">Назначение. </w:t>
      </w:r>
      <w:r>
        <w:rPr>
          <w:rFonts w:ascii="Avenir Next Cyr" w:hAnsi="Avenir Next Cyr" w:eastAsia="Avenir Next Cyr" w:cs="Avenir Next Cyr"/>
          <w:color w:val="003A49"/>
          <w:sz w:val="21"/>
        </w:rPr>
        <w:t>Не смешивая факты и гипотезы, определить кандидатов на проверку в измеримом пилоте.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Процесс / границы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Период наблюдения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Владелец реестра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Дата обновления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keepNext w:val="0"/>
        <w:keepLines/>
        <w:spacing w:before="80" w:after="200" w:line="300" w:lineRule="auto"/>
        <w:shd w:fill="F8F9FA" w:val="clear"/>
        <w:pBdr>
          <w:left w:val="single" w:sz="20" w:space="8" w:color="007A92"/>
        </w:pBdr>
      </w:pPr>
      <w:r>
        <w:rPr>
          <w:rFonts w:ascii="Avenir Next Cyr" w:hAnsi="Avenir Next Cyr" w:eastAsia="Avenir Next Cyr" w:cs="Avenir Next Cyr"/>
          <w:b/>
          <w:color w:val="007A92"/>
          <w:sz w:val="21"/>
        </w:rPr>
        <w:t xml:space="preserve">Различие. </w:t>
      </w:r>
      <w:r>
        <w:rPr>
          <w:rFonts w:ascii="Avenir Next Cyr" w:hAnsi="Avenir Next Cyr" w:eastAsia="Avenir Next Cyr" w:cs="Avenir Next Cyr"/>
          <w:color w:val="003A49"/>
          <w:sz w:val="21"/>
        </w:rPr>
        <w:t>Потеря — действие или ожидание без ценности. Узкое место — участок, состояние которого ограничивает пропускную способность всего потока.</w:t>
      </w:r>
    </w:p>
    <w:p>
      <w:pPr>
        <w:pStyle w:val="Heading1"/>
      </w:pPr>
      <w:r>
        <w:t>Реестр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80"/>
        <w:gridCol w:w="1000"/>
        <w:gridCol w:w="2050"/>
        <w:gridCol w:w="800"/>
        <w:gridCol w:w="1250"/>
        <w:gridCol w:w="1400"/>
        <w:gridCol w:w="1430"/>
        <w:gridCol w:w="950"/>
      </w:tblGrid>
      <w:tr>
        <w:trPr>
          <w:tblHeader w:val="true"/>
          <w:cantSplit/>
        </w:trPr>
        <w:tc>
          <w:tcPr>
            <w:tcW w:type="dxa" w:w="48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ID</w:t>
            </w:r>
          </w:p>
        </w:tc>
        <w:tc>
          <w:tcPr>
            <w:tcW w:type="dxa" w:w="10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Этап</w:t>
            </w:r>
          </w:p>
        </w:tc>
        <w:tc>
          <w:tcPr>
            <w:tcW w:type="dxa" w:w="20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Наблюдение</w:t>
            </w:r>
          </w:p>
        </w:tc>
        <w:tc>
          <w:tcPr>
            <w:tcW w:type="dxa" w:w="8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Частота</w:t>
            </w:r>
          </w:p>
        </w:tc>
        <w:tc>
          <w:tcPr>
            <w:tcW w:type="dxa" w:w="12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Влияние</w:t>
            </w:r>
          </w:p>
        </w:tc>
        <w:tc>
          <w:tcPr>
            <w:tcW w:type="dxa" w:w="14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Доказательство</w:t>
            </w:r>
          </w:p>
        </w:tc>
        <w:tc>
          <w:tcPr>
            <w:tcW w:type="dxa" w:w="143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Гипотеза причины</w:t>
            </w:r>
          </w:p>
        </w:tc>
        <w:tc>
          <w:tcPr>
            <w:tcW w:type="dxa" w:w="9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Приор.</w:t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1</w:t>
            </w:r>
          </w:p>
        </w:tc>
        <w:tc>
          <w:tcPr>
            <w:tcW w:type="dxa" w:w="1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2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8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3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2</w:t>
            </w:r>
          </w:p>
        </w:tc>
        <w:tc>
          <w:tcPr>
            <w:tcW w:type="dxa" w:w="1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2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8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3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3</w:t>
            </w:r>
          </w:p>
        </w:tc>
        <w:tc>
          <w:tcPr>
            <w:tcW w:type="dxa" w:w="1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2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8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3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4</w:t>
            </w:r>
          </w:p>
        </w:tc>
        <w:tc>
          <w:tcPr>
            <w:tcW w:type="dxa" w:w="1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2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8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3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5</w:t>
            </w:r>
          </w:p>
        </w:tc>
        <w:tc>
          <w:tcPr>
            <w:tcW w:type="dxa" w:w="1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2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8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3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6</w:t>
            </w:r>
          </w:p>
        </w:tc>
        <w:tc>
          <w:tcPr>
            <w:tcW w:type="dxa" w:w="1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2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8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3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7</w:t>
            </w:r>
          </w:p>
        </w:tc>
        <w:tc>
          <w:tcPr>
            <w:tcW w:type="dxa" w:w="1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2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8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3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8</w:t>
            </w:r>
          </w:p>
        </w:tc>
        <w:tc>
          <w:tcPr>
            <w:tcW w:type="dxa" w:w="1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2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8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3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9</w:t>
            </w:r>
          </w:p>
        </w:tc>
        <w:tc>
          <w:tcPr>
            <w:tcW w:type="dxa" w:w="1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2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8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3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10</w:t>
            </w:r>
          </w:p>
        </w:tc>
        <w:tc>
          <w:tcPr>
            <w:tcW w:type="dxa" w:w="1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2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8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3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Правила приоритизации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Частота: как часто повторяется сценарий в сопоставимой категории задач.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Влияние: задерживает ли конечный результат, ухудшает ли качество следующей передачи или создает WIP.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Доказательство: системные данные, наблюдение, выборка кейсов или документы, а не общее впечатление.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Приоритет: высокое влияние и повторяемость важнее визуально заметного, но локального простоя.</w:t>
      </w:r>
    </w:p>
    <w:p>
      <w:pPr>
        <w:pStyle w:val="Heading1"/>
      </w:pPr>
      <w:r>
        <w:t>Проверка кандидата в узкое место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8660"/>
      </w:tblGrid>
      <w:tr>
        <w:trPr>
          <w:tblHeader w:val="true"/>
          <w:cantSplit/>
        </w:trPr>
        <w:tc>
          <w:tcPr>
            <w:tcW w:type="dxa" w:w="7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</w:r>
          </w:p>
        </w:tc>
        <w:tc>
          <w:tcPr>
            <w:tcW w:type="dxa" w:w="86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Проверка</w:t>
            </w:r>
          </w:p>
        </w:tc>
      </w:tr>
      <w:tr>
        <w:trPr>
          <w:cantSplit/>
        </w:trPr>
        <w:tc>
          <w:tcPr>
            <w:tcW w:type="dxa" w:w="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Перед участком устойчиво накапливается работа.</w:t>
            </w:r>
          </w:p>
        </w:tc>
      </w:tr>
      <w:tr>
        <w:trPr>
          <w:cantSplit/>
        </w:trPr>
        <w:tc>
          <w:tcPr>
            <w:tcW w:type="dxa" w:w="7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Изменение его состояния влияет на сквозной срок или пропускную способность.</w:t>
            </w:r>
          </w:p>
        </w:tc>
      </w:tr>
      <w:tr>
        <w:trPr>
          <w:cantSplit/>
        </w:trPr>
        <w:tc>
          <w:tcPr>
            <w:tcW w:type="dxa" w:w="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Локальное ускорение предыдущего этапа увеличивает очередь перед ним.</w:t>
            </w:r>
          </w:p>
        </w:tc>
      </w:tr>
      <w:tr>
        <w:trPr>
          <w:cantSplit/>
        </w:trPr>
        <w:tc>
          <w:tcPr>
            <w:tcW w:type="dxa" w:w="7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Эффект наблюдается в повторяемом сценарии, а не в одном исключении.</w:t>
            </w:r>
          </w:p>
        </w:tc>
      </w:tr>
      <w:tr>
        <w:trPr>
          <w:cantSplit/>
        </w:trPr>
        <w:tc>
          <w:tcPr>
            <w:tcW w:type="dxa" w:w="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Есть данные для baseline и сопоставимого измерения после изменения.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Кандидат на пилот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Finding ID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Проверяемая причинная гипотеза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Если …, то …, потому что …</w:t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Одно изменение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Что будет изменено и что останется без изменения</w:t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Метрики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Основная, качество следующей передачи, контрольная</w:t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Владелец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Решение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Перенести в charter / собрать доказательства / закрыть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left"/>
      <w:pBdr>
        <w:bottom w:val="single" w:sz="8" w:space="2" w:color="E4E4E4"/>
      </w:pBdr>
    </w:pPr>
    <w:r/>
    <w:r>
      <w:rPr>
        <w:rFonts w:ascii="Avenir Next Cyr" w:hAnsi="Avenir Next Cyr" w:eastAsia="Avenir Next Cyr" w:cs="Avenir Next Cyr"/>
        <w:color w:val="737373"/>
        <w:sz w:val="17"/>
      </w:rPr>
      <w:t>CI CONSULT  ·  Управление бизнес-процессами</w:t>
    </w:r>
    <w:r>
      <w:rPr>
        <w:rFonts w:ascii="Avenir Next Cyr" w:hAnsi="Avenir Next Cyr" w:eastAsia="Avenir Next Cyr" w:cs="Avenir Next Cyr"/>
        <w:sz w:val="17"/>
      </w:rPr>
      <w:t xml:space="preserve">                                      </w:t>
    </w:r>
    <w:r>
      <w:rPr>
        <w:rFonts w:ascii="Avenir Next Cyr" w:hAnsi="Avenir Next Cyr" w:eastAsia="Avenir Next Cyr" w:cs="Avenir Next Cyr"/>
        <w:color w:val="737373"/>
        <w:sz w:val="17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>
      <w:rPr>
        <w:rFonts w:ascii="Avenir Next Cyr" w:hAnsi="Avenir Next Cyr" w:eastAsia="Avenir Next Cyr" w:cs="Avenir Next Cyr"/>
        <w:color w:val="737373"/>
        <w:sz w:val="17"/>
      </w:rPr>
      <w:t>1</w:t>
    </w:r>
    <w:r>
      <w:rPr>
        <w:rFonts w:ascii="Avenir Next Cyr" w:hAnsi="Avenir Next Cyr" w:eastAsia="Avenir Next Cyr" w:cs="Avenir Next Cyr"/>
        <w:color w:val="737373"/>
        <w:sz w:val="17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40" w:lineRule="auto"/>
    </w:pPr>
    <w:r/>
  </w:p>
  <w:tbl>
    <w:tblPr>
      <w:tblW w:type="dxa" w:w="9360"/>
      <w:tblLayout w:type="fixed"/>
      <w:tblLook w:firstColumn="1" w:firstRow="1" w:lastColumn="0" w:lastRow="0" w:noHBand="0" w:noVBand="1" w:val="04A0"/>
      <w:tblInd w:w="0" w:type="dxa"/>
    </w:tblPr>
    <w:tblGrid>
      <w:gridCol w:w="2400"/>
      <w:gridCol w:w="6960"/>
    </w:tblGrid>
    <w:tr>
      <w:tc>
        <w:tcPr>
          <w:tcW w:type="dxa" w:w="240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8448" cy="258391"/>
                <wp:docPr id="1" name="Picture 1" title="CI CONSULT" descr="Логотип CI CONSULT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dark-blue-transpar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8448" cy="25839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96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right"/>
            <w:pBdr>
              <w:bottom w:val="single" w:sz="8" w:space="2" w:color="00A3C2"/>
            </w:pBdr>
          </w:pPr>
          <w:r>
            <w:rPr>
              <w:rFonts w:ascii="Avenir Next Cyr" w:hAnsi="Avenir Next Cyr" w:eastAsia="Avenir Next Cyr" w:cs="Avenir Next Cyr"/>
              <w:b/>
              <w:color w:val="737373"/>
              <w:sz w:val="17"/>
            </w:rPr>
            <w:t>B08  ·  Реестр потерь и узких мест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Avenir Next Cyr" w:hAnsi="Avenir Next Cyr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venir Next Cyr" w:hAnsi="Avenir Next Cyr" w:eastAsia="Avenir Next Cyr" w:cs="Avenir Next Cyr"/>
      <w:color w:val="003A4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59" w:lineRule="auto"/>
      <w:outlineLvl w:val="0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59" w:lineRule="auto"/>
      <w:outlineLvl w:val="1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7A9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59" w:lineRule="auto"/>
      <w:outlineLvl w:val="2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Title">
    <w:name w:val="CI Title"/>
    <w:pPr>
      <w:keepNext/>
      <w:spacing w:before="80" w:after="140" w:line="240" w:lineRule="auto"/>
    </w:pPr>
    <w:rPr>
      <w:rFonts w:ascii="Avenir Next Cyr" w:hAnsi="Avenir Next Cyr" w:eastAsia="Avenir Next Cyr" w:cs="Avenir Next Cyr"/>
      <w:b/>
      <w:color w:val="003A49"/>
      <w:sz w:val="46"/>
    </w:rPr>
  </w:style>
  <w:style w:type="paragraph" w:customStyle="1" w:styleId="CISubtitle">
    <w:name w:val="CI Subtitle"/>
    <w:pPr>
      <w:spacing w:before="0" w:after="240" w:line="288" w:lineRule="auto"/>
    </w:pPr>
    <w:rPr>
      <w:rFonts w:ascii="Avenir Next Cyr" w:hAnsi="Avenir Next Cyr" w:eastAsia="Avenir Next Cyr" w:cs="Avenir Next Cyr"/>
      <w:color w:val="737373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потерь и узких мест</dc:title>
  <dc:subject>Рабочий документ CI CONSULT по управлению бизнес-процессами</dc:subject>
  <dc:creator>CI CONSULT</dc:creator>
  <cp:keywords>CI CONSULT, бизнес-процессы, потери, улучшения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