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keepLines w:val="0"/>
        <w:spacing w:before="100" w:after="80" w:line="240" w:lineRule="auto"/>
      </w:pPr>
      <w:r>
        <w:rPr>
          <w:rFonts w:ascii="Avenir Next Cyr" w:hAnsi="Avenir Next Cyr" w:eastAsia="Avenir Next Cyr" w:cs="Avenir Next Cyr"/>
          <w:b/>
          <w:color w:val="E94840"/>
          <w:sz w:val="18"/>
        </w:rPr>
        <w:t>B01  ·  РАБОЧИЙ ИНСТРУМЕНТ</w:t>
      </w:r>
    </w:p>
    <w:p>
      <w:pPr>
        <w:pStyle w:val="CITitle"/>
      </w:pPr>
      <w:r>
        <w:t>Карточка выбора приоритетного процесса</w:t>
      </w:r>
    </w:p>
    <w:p>
      <w:pPr>
        <w:pStyle w:val="CISubtitle"/>
      </w:pPr>
      <w:r>
        <w:t>Ограничение предмета первичного аудита</w:t>
      </w:r>
    </w:p>
    <w:p>
      <w:pPr>
        <w:keepNext w:val="0"/>
        <w:keepLines/>
        <w:spacing w:before="0" w:after="280" w:line="300" w:lineRule="auto"/>
        <w:shd w:fill="F8F9FA" w:val="clear"/>
        <w:pBdr>
          <w:left w:val="single" w:sz="20" w:space="8" w:color="007A92"/>
        </w:pBdr>
      </w:pPr>
      <w:r>
        <w:rPr>
          <w:rFonts w:ascii="Avenir Next Cyr" w:hAnsi="Avenir Next Cyr" w:eastAsia="Avenir Next Cyr" w:cs="Avenir Next Cyr"/>
          <w:b/>
          <w:color w:val="003A49"/>
          <w:sz w:val="21"/>
        </w:rPr>
        <w:t xml:space="preserve">Назначение. </w:t>
      </w:r>
      <w:r>
        <w:rPr>
          <w:rFonts w:ascii="Avenir Next Cyr" w:hAnsi="Avenir Next Cyr" w:eastAsia="Avenir Next Cyr" w:cs="Avenir Next Cyr"/>
          <w:color w:val="003A49"/>
          <w:sz w:val="21"/>
        </w:rPr>
        <w:t>Выбрать один процесс, где прозрачность и проверяемое улучшение дадут значимый управленческий результат.</w:t>
      </w:r>
    </w:p>
    <w:p>
      <w:pPr>
        <w:pStyle w:val="Heading1"/>
      </w:pPr>
      <w:r>
        <w:t>1. Кандидаты</w:t>
      </w:r>
    </w:p>
    <w:p>
      <w:pPr>
        <w:keepNext w:val="0"/>
        <w:keepLines/>
        <w:spacing w:before="80" w:after="200" w:line="300" w:lineRule="auto"/>
        <w:shd w:fill="F8F9FA" w:val="clear"/>
        <w:pBdr>
          <w:left w:val="single" w:sz="20" w:space="8" w:color="00A3C2"/>
        </w:pBdr>
      </w:pPr>
      <w:r>
        <w:rPr>
          <w:rFonts w:ascii="Avenir Next Cyr" w:hAnsi="Avenir Next Cyr" w:eastAsia="Avenir Next Cyr" w:cs="Avenir Next Cyr"/>
          <w:b/>
          <w:color w:val="00A3C2"/>
          <w:sz w:val="21"/>
        </w:rPr>
        <w:t xml:space="preserve">Шкала. </w:t>
      </w:r>
      <w:r>
        <w:rPr>
          <w:rFonts w:ascii="Avenir Next Cyr" w:hAnsi="Avenir Next Cyr" w:eastAsia="Avenir Next Cyr" w:cs="Avenir Next Cyr"/>
          <w:color w:val="003A49"/>
          <w:sz w:val="21"/>
        </w:rPr>
        <w:t>Оцените каждый критерий от 1 до 5. Высокий итог — основание для обсуждения, а не автоматический выбор.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480"/>
        <w:gridCol w:w="3120"/>
        <w:gridCol w:w="1050"/>
        <w:gridCol w:w="1050"/>
        <w:gridCol w:w="1050"/>
        <w:gridCol w:w="1530"/>
        <w:gridCol w:w="1080"/>
      </w:tblGrid>
      <w:tr>
        <w:trPr>
          <w:tblHeader w:val="true"/>
          <w:cantSplit/>
        </w:trPr>
        <w:tc>
          <w:tcPr>
            <w:tcW w:type="dxa" w:w="48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7"/>
              </w:rPr>
              <w:t>№</w:t>
            </w:r>
          </w:p>
        </w:tc>
        <w:tc>
          <w:tcPr>
            <w:tcW w:type="dxa" w:w="312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7"/>
              </w:rPr>
              <w:t>Процесс</w:t>
            </w:r>
          </w:p>
        </w:tc>
        <w:tc>
          <w:tcPr>
            <w:tcW w:type="dxa" w:w="105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7"/>
              </w:rPr>
              <w:t>Срок</w:t>
            </w:r>
          </w:p>
        </w:tc>
        <w:tc>
          <w:tcPr>
            <w:tcW w:type="dxa" w:w="105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7"/>
              </w:rPr>
              <w:t>Качество</w:t>
            </w:r>
          </w:p>
        </w:tc>
        <w:tc>
          <w:tcPr>
            <w:tcW w:type="dxa" w:w="105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7"/>
              </w:rPr>
              <w:t>Затраты</w:t>
            </w:r>
          </w:p>
        </w:tc>
        <w:tc>
          <w:tcPr>
            <w:tcW w:type="dxa" w:w="153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7"/>
              </w:rPr>
              <w:t>Повторяемость</w:t>
            </w:r>
          </w:p>
        </w:tc>
        <w:tc>
          <w:tcPr>
            <w:tcW w:type="dxa" w:w="108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7"/>
              </w:rPr>
              <w:t>Итого</w:t>
            </w:r>
          </w:p>
        </w:tc>
      </w:tr>
      <w:tr>
        <w:trPr>
          <w:cantSplit/>
        </w:trPr>
        <w:tc>
          <w:tcPr>
            <w:tcW w:type="dxa" w:w="48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7"/>
              </w:rPr>
              <w:t>1</w:t>
            </w:r>
          </w:p>
        </w:tc>
        <w:tc>
          <w:tcPr>
            <w:tcW w:type="dxa" w:w="312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7"/>
              </w:rPr>
            </w:r>
          </w:p>
        </w:tc>
        <w:tc>
          <w:tcPr>
            <w:tcW w:type="dxa" w:w="105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7"/>
              </w:rPr>
            </w:r>
          </w:p>
        </w:tc>
        <w:tc>
          <w:tcPr>
            <w:tcW w:type="dxa" w:w="105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7"/>
              </w:rPr>
            </w:r>
          </w:p>
        </w:tc>
        <w:tc>
          <w:tcPr>
            <w:tcW w:type="dxa" w:w="105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7"/>
              </w:rPr>
            </w:r>
          </w:p>
        </w:tc>
        <w:tc>
          <w:tcPr>
            <w:tcW w:type="dxa" w:w="153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7"/>
              </w:rPr>
            </w:r>
          </w:p>
        </w:tc>
        <w:tc>
          <w:tcPr>
            <w:tcW w:type="dxa" w:w="108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7"/>
              </w:rPr>
            </w:r>
          </w:p>
        </w:tc>
      </w:tr>
      <w:tr>
        <w:trPr>
          <w:cantSplit/>
        </w:trPr>
        <w:tc>
          <w:tcPr>
            <w:tcW w:type="dxa" w:w="48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7"/>
              </w:rPr>
              <w:t>2</w:t>
            </w:r>
          </w:p>
        </w:tc>
        <w:tc>
          <w:tcPr>
            <w:tcW w:type="dxa" w:w="312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7"/>
              </w:rPr>
            </w:r>
          </w:p>
        </w:tc>
        <w:tc>
          <w:tcPr>
            <w:tcW w:type="dxa" w:w="105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7"/>
              </w:rPr>
            </w:r>
          </w:p>
        </w:tc>
        <w:tc>
          <w:tcPr>
            <w:tcW w:type="dxa" w:w="105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7"/>
              </w:rPr>
            </w:r>
          </w:p>
        </w:tc>
        <w:tc>
          <w:tcPr>
            <w:tcW w:type="dxa" w:w="105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7"/>
              </w:rPr>
            </w:r>
          </w:p>
        </w:tc>
        <w:tc>
          <w:tcPr>
            <w:tcW w:type="dxa" w:w="153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7"/>
              </w:rPr>
            </w:r>
          </w:p>
        </w:tc>
        <w:tc>
          <w:tcPr>
            <w:tcW w:type="dxa" w:w="108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7"/>
              </w:rPr>
            </w:r>
          </w:p>
        </w:tc>
      </w:tr>
      <w:tr>
        <w:trPr>
          <w:cantSplit/>
        </w:trPr>
        <w:tc>
          <w:tcPr>
            <w:tcW w:type="dxa" w:w="48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7"/>
              </w:rPr>
              <w:t>3</w:t>
            </w:r>
          </w:p>
        </w:tc>
        <w:tc>
          <w:tcPr>
            <w:tcW w:type="dxa" w:w="312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7"/>
              </w:rPr>
            </w:r>
          </w:p>
        </w:tc>
        <w:tc>
          <w:tcPr>
            <w:tcW w:type="dxa" w:w="105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7"/>
              </w:rPr>
            </w:r>
          </w:p>
        </w:tc>
        <w:tc>
          <w:tcPr>
            <w:tcW w:type="dxa" w:w="105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7"/>
              </w:rPr>
            </w:r>
          </w:p>
        </w:tc>
        <w:tc>
          <w:tcPr>
            <w:tcW w:type="dxa" w:w="105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7"/>
              </w:rPr>
            </w:r>
          </w:p>
        </w:tc>
        <w:tc>
          <w:tcPr>
            <w:tcW w:type="dxa" w:w="153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7"/>
              </w:rPr>
            </w:r>
          </w:p>
        </w:tc>
        <w:tc>
          <w:tcPr>
            <w:tcW w:type="dxa" w:w="108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7"/>
              </w:rPr>
            </w:r>
          </w:p>
        </w:tc>
      </w:tr>
      <w:tr>
        <w:trPr>
          <w:cantSplit/>
        </w:trPr>
        <w:tc>
          <w:tcPr>
            <w:tcW w:type="dxa" w:w="48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center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7"/>
              </w:rPr>
              <w:t>4</w:t>
            </w:r>
          </w:p>
        </w:tc>
        <w:tc>
          <w:tcPr>
            <w:tcW w:type="dxa" w:w="312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7"/>
              </w:rPr>
            </w:r>
          </w:p>
        </w:tc>
        <w:tc>
          <w:tcPr>
            <w:tcW w:type="dxa" w:w="105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7"/>
              </w:rPr>
            </w:r>
          </w:p>
        </w:tc>
        <w:tc>
          <w:tcPr>
            <w:tcW w:type="dxa" w:w="105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7"/>
              </w:rPr>
            </w:r>
          </w:p>
        </w:tc>
        <w:tc>
          <w:tcPr>
            <w:tcW w:type="dxa" w:w="105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7"/>
              </w:rPr>
            </w:r>
          </w:p>
        </w:tc>
        <w:tc>
          <w:tcPr>
            <w:tcW w:type="dxa" w:w="153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7"/>
              </w:rPr>
            </w:r>
          </w:p>
        </w:tc>
        <w:tc>
          <w:tcPr>
            <w:tcW w:type="dxa" w:w="108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7"/>
              </w:rPr>
            </w:r>
          </w:p>
        </w:tc>
      </w:tr>
    </w:tbl>
    <w:p>
      <w:pPr>
        <w:spacing w:before="0" w:after="0" w:line="20" w:lineRule="exact"/>
      </w:pPr>
      <w:r>
        <w:rPr>
          <w:rFonts w:ascii="Avenir Next Cyr" w:hAnsi="Avenir Next Cyr" w:eastAsia="Avenir Next Cyr" w:cs="Avenir Next Cyr"/>
          <w:color w:val="FFFFFF"/>
          <w:sz w:val="2"/>
        </w:rPr>
        <w:t xml:space="preserve"> </w:t>
      </w:r>
    </w:p>
    <w:p>
      <w:pPr>
        <w:keepNext w:val="0"/>
        <w:keepLines w:val="0"/>
        <w:spacing w:before="0" w:after="120" w:line="300" w:lineRule="auto"/>
      </w:pPr>
      <w:r>
        <w:rPr>
          <w:rFonts w:ascii="Avenir Next Cyr" w:hAnsi="Avenir Next Cyr" w:eastAsia="Avenir Next Cyr" w:cs="Avenir Next Cyr"/>
          <w:color w:val="003A49"/>
          <w:sz w:val="22"/>
        </w:rPr>
        <w:t>Критерии: влияние на клиентский/внутренний срок; цена ошибок и возвратов; влияние на затраты; частота и повторяемость потока.</w:t>
      </w:r>
    </w:p>
    <w:p>
      <w:pPr>
        <w:pStyle w:val="Heading1"/>
      </w:pPr>
      <w:r>
        <w:t>2. Паспорт выбранного процесса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7260"/>
      </w:tblGrid>
      <w:tr>
        <w:trPr>
          <w:cantSplit/>
        </w:trPr>
        <w:tc>
          <w:tcPr>
            <w:tcW w:type="dxa" w:w="21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Название</w:t>
            </w:r>
          </w:p>
        </w:tc>
        <w:tc>
          <w:tcPr>
            <w:tcW w:type="dxa" w:w="72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Короткое название процесса</w:t>
            </w:r>
          </w:p>
        </w:tc>
      </w:tr>
      <w:tr>
        <w:trPr>
          <w:cantSplit/>
        </w:trPr>
        <w:tc>
          <w:tcPr>
            <w:tcW w:type="dxa" w:w="21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Вход</w:t>
            </w:r>
          </w:p>
        </w:tc>
        <w:tc>
          <w:tcPr>
            <w:tcW w:type="dxa" w:w="72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Событие или объект, запускающий процесс</w:t>
            </w:r>
          </w:p>
        </w:tc>
      </w:tr>
      <w:tr>
        <w:trPr>
          <w:cantSplit/>
        </w:trPr>
        <w:tc>
          <w:tcPr>
            <w:tcW w:type="dxa" w:w="21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Результат</w:t>
            </w:r>
          </w:p>
        </w:tc>
        <w:tc>
          <w:tcPr>
            <w:tcW w:type="dxa" w:w="72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Проверяемый выход процесса</w:t>
            </w:r>
          </w:p>
        </w:tc>
      </w:tr>
      <w:tr>
        <w:trPr>
          <w:cantSplit/>
        </w:trPr>
        <w:tc>
          <w:tcPr>
            <w:tcW w:type="dxa" w:w="21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Клиент</w:t>
            </w:r>
          </w:p>
        </w:tc>
        <w:tc>
          <w:tcPr>
            <w:tcW w:type="dxa" w:w="72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Кто принимает результат и по какому критерию</w:t>
            </w:r>
          </w:p>
        </w:tc>
      </w:tr>
      <w:tr>
        <w:trPr>
          <w:cantSplit/>
        </w:trPr>
        <w:tc>
          <w:tcPr>
            <w:tcW w:type="dxa" w:w="21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Владелец</w:t>
            </w:r>
          </w:p>
        </w:tc>
        <w:tc>
          <w:tcPr>
            <w:tcW w:type="dxa" w:w="72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Роль, отвечающая за сквозной результат</w:t>
            </w:r>
          </w:p>
        </w:tc>
      </w:tr>
      <w:tr>
        <w:trPr>
          <w:cantSplit/>
        </w:trPr>
        <w:tc>
          <w:tcPr>
            <w:tcW w:type="dxa" w:w="21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Участники</w:t>
            </w:r>
          </w:p>
        </w:tc>
        <w:tc>
          <w:tcPr>
            <w:tcW w:type="dxa" w:w="72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Функции и роли по маршруту</w:t>
            </w:r>
          </w:p>
        </w:tc>
      </w:tr>
      <w:tr>
        <w:trPr>
          <w:cantSplit/>
        </w:trPr>
        <w:tc>
          <w:tcPr>
            <w:tcW w:type="dxa" w:w="21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Начальная граница</w:t>
            </w:r>
          </w:p>
        </w:tc>
        <w:tc>
          <w:tcPr>
            <w:tcW w:type="dxa" w:w="72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Где начинается наблюдение</w:t>
            </w:r>
          </w:p>
        </w:tc>
      </w:tr>
      <w:tr>
        <w:trPr>
          <w:cantSplit/>
        </w:trPr>
        <w:tc>
          <w:tcPr>
            <w:tcW w:type="dxa" w:w="21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Конечная граница</w:t>
            </w:r>
          </w:p>
        </w:tc>
        <w:tc>
          <w:tcPr>
            <w:tcW w:type="dxa" w:w="72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Где заканчивается наблюдение</w:t>
            </w:r>
          </w:p>
        </w:tc>
      </w:tr>
    </w:tbl>
    <w:p>
      <w:pPr>
        <w:spacing w:before="0" w:after="0" w:line="20" w:lineRule="exact"/>
      </w:pPr>
      <w:r>
        <w:rPr>
          <w:rFonts w:ascii="Avenir Next Cyr" w:hAnsi="Avenir Next Cyr" w:eastAsia="Avenir Next Cyr" w:cs="Avenir Next Cyr"/>
          <w:color w:val="FFFFFF"/>
          <w:sz w:val="2"/>
        </w:rPr>
        <w:t xml:space="preserve"> </w:t>
      </w:r>
    </w:p>
    <w:p>
      <w:pPr>
        <w:pStyle w:val="Heading1"/>
      </w:pPr>
      <w:r>
        <w:t>3. Основание для приоритета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300"/>
        <w:gridCol w:w="7060"/>
      </w:tblGrid>
      <w:tr>
        <w:trPr>
          <w:cantSplit/>
        </w:trPr>
        <w:tc>
          <w:tcPr>
            <w:tcW w:type="dxa" w:w="23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Наблюдаемый симптом</w:t>
            </w:r>
          </w:p>
        </w:tc>
        <w:tc>
          <w:tcPr>
            <w:tcW w:type="dxa" w:w="70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Срок / качество / возвраты / затраты / WIP</w:t>
            </w:r>
          </w:p>
        </w:tc>
      </w:tr>
      <w:tr>
        <w:trPr>
          <w:cantSplit/>
        </w:trPr>
        <w:tc>
          <w:tcPr>
            <w:tcW w:type="dxa" w:w="23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Повторяемость</w:t>
            </w:r>
          </w:p>
        </w:tc>
        <w:tc>
          <w:tcPr>
            <w:tcW w:type="dxa" w:w="70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Как часто и в каких категориях задач</w:t>
            </w:r>
          </w:p>
        </w:tc>
      </w:tr>
      <w:tr>
        <w:trPr>
          <w:cantSplit/>
        </w:trPr>
        <w:tc>
          <w:tcPr>
            <w:tcW w:type="dxa" w:w="23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Масштаб влияния</w:t>
            </w:r>
          </w:p>
        </w:tc>
        <w:tc>
          <w:tcPr>
            <w:tcW w:type="dxa" w:w="70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На клиента, следующий этап и весь поток</w:t>
            </w:r>
          </w:p>
        </w:tc>
      </w:tr>
      <w:tr>
        <w:trPr>
          <w:cantSplit/>
        </w:trPr>
        <w:tc>
          <w:tcPr>
            <w:tcW w:type="dxa" w:w="23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Доступность данных</w:t>
            </w:r>
          </w:p>
        </w:tc>
        <w:tc>
          <w:tcPr>
            <w:tcW w:type="dxa" w:w="70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Системы, журналы, наблюдение, владельцы данных</w:t>
            </w:r>
          </w:p>
        </w:tc>
      </w:tr>
      <w:tr>
        <w:trPr>
          <w:cantSplit/>
        </w:trPr>
        <w:tc>
          <w:tcPr>
            <w:tcW w:type="dxa" w:w="23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Ограничения</w:t>
            </w:r>
          </w:p>
        </w:tc>
        <w:tc>
          <w:tcPr>
            <w:tcW w:type="dxa" w:w="70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Ресурсы, сезонность, регуляторика, параллельные изменения</w:t>
            </w:r>
          </w:p>
        </w:tc>
      </w:tr>
      <w:tr>
        <w:trPr>
          <w:cantSplit/>
        </w:trPr>
        <w:tc>
          <w:tcPr>
            <w:tcW w:type="dxa" w:w="23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Что не входит</w:t>
            </w:r>
          </w:p>
        </w:tc>
        <w:tc>
          <w:tcPr>
            <w:tcW w:type="dxa" w:w="70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Смежные процессы и исключения вне текущего scope</w:t>
            </w:r>
          </w:p>
        </w:tc>
      </w:tr>
    </w:tbl>
    <w:p>
      <w:pPr>
        <w:spacing w:before="0" w:after="0" w:line="20" w:lineRule="exact"/>
      </w:pPr>
      <w:r>
        <w:rPr>
          <w:rFonts w:ascii="Avenir Next Cyr" w:hAnsi="Avenir Next Cyr" w:eastAsia="Avenir Next Cyr" w:cs="Avenir Next Cyr"/>
          <w:color w:val="FFFFFF"/>
          <w:sz w:val="2"/>
        </w:rPr>
        <w:t xml:space="preserve"> </w:t>
      </w:r>
    </w:p>
    <w:p>
      <w:pPr>
        <w:pStyle w:val="Heading1"/>
      </w:pPr>
      <w:r>
        <w:t>4. Решение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700"/>
        <w:gridCol w:w="8660"/>
      </w:tblGrid>
      <w:tr>
        <w:trPr>
          <w:tblHeader w:val="true"/>
          <w:cantSplit/>
        </w:trPr>
        <w:tc>
          <w:tcPr>
            <w:tcW w:type="dxa" w:w="70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9"/>
              </w:rPr>
            </w:r>
          </w:p>
        </w:tc>
        <w:tc>
          <w:tcPr>
            <w:tcW w:type="dxa" w:w="8660"/>
            <w:shd w:fill="003A49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Avenir Next Cyr" w:hAnsi="Avenir Next Cyr" w:eastAsia="Avenir Next Cyr" w:cs="Avenir Next Cyr"/>
                <w:b/>
                <w:color w:val="FFFFFF"/>
                <w:sz w:val="19"/>
              </w:rPr>
              <w:t>Критерий допуска</w:t>
            </w:r>
          </w:p>
        </w:tc>
      </w:tr>
      <w:tr>
        <w:trPr>
          <w:cantSplit/>
        </w:trPr>
        <w:tc>
          <w:tcPr>
            <w:tcW w:type="dxa" w:w="7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9"/>
              </w:rPr>
              <w:t>□</w:t>
            </w:r>
          </w:p>
        </w:tc>
        <w:tc>
          <w:tcPr>
            <w:tcW w:type="dxa" w:w="86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9"/>
              </w:rPr>
              <w:t>Процесс имеет конкретные вход и результат.</w:t>
            </w:r>
          </w:p>
        </w:tc>
      </w:tr>
      <w:tr>
        <w:trPr>
          <w:cantSplit/>
        </w:trPr>
        <w:tc>
          <w:tcPr>
            <w:tcW w:type="dxa" w:w="7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9"/>
              </w:rPr>
              <w:t>□</w:t>
            </w:r>
          </w:p>
        </w:tc>
        <w:tc>
          <w:tcPr>
            <w:tcW w:type="dxa" w:w="866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9"/>
              </w:rPr>
              <w:t>Влияние повторяется и заметно для сквозного результата.</w:t>
            </w:r>
          </w:p>
        </w:tc>
      </w:tr>
      <w:tr>
        <w:trPr>
          <w:cantSplit/>
        </w:trPr>
        <w:tc>
          <w:tcPr>
            <w:tcW w:type="dxa" w:w="7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9"/>
              </w:rPr>
              <w:t>□</w:t>
            </w:r>
          </w:p>
        </w:tc>
        <w:tc>
          <w:tcPr>
            <w:tcW w:type="dxa" w:w="86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9"/>
              </w:rPr>
              <w:t>Маршрут можно наблюдать в выбранных границах.</w:t>
            </w:r>
          </w:p>
        </w:tc>
      </w:tr>
      <w:tr>
        <w:trPr>
          <w:cantSplit/>
        </w:trPr>
        <w:tc>
          <w:tcPr>
            <w:tcW w:type="dxa" w:w="7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9"/>
              </w:rPr>
              <w:t>□</w:t>
            </w:r>
          </w:p>
        </w:tc>
        <w:tc>
          <w:tcPr>
            <w:tcW w:type="dxa" w:w="866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9"/>
              </w:rPr>
              <w:t>Есть владелец и доступ к исполнителям/данным.</w:t>
            </w:r>
          </w:p>
        </w:tc>
      </w:tr>
      <w:tr>
        <w:trPr>
          <w:cantSplit/>
        </w:trPr>
        <w:tc>
          <w:tcPr>
            <w:tcW w:type="dxa" w:w="70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9"/>
              </w:rPr>
              <w:t>□</w:t>
            </w:r>
          </w:p>
        </w:tc>
        <w:tc>
          <w:tcPr>
            <w:tcW w:type="dxa" w:w="86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59" w:lineRule="auto"/>
              <w:jc w:val="left"/>
            </w:pPr>
            <w:r>
              <w:rPr>
                <w:rFonts w:ascii="Avenir Next Cyr" w:hAnsi="Avenir Next Cyr" w:eastAsia="Avenir Next Cyr" w:cs="Avenir Next Cyr"/>
                <w:b w:val="0"/>
                <w:color w:val="003A49"/>
                <w:sz w:val="19"/>
              </w:rPr>
              <w:t>Аудит не подменяется заранее выбранным IT-решением.</w:t>
            </w:r>
          </w:p>
        </w:tc>
      </w:tr>
    </w:tbl>
    <w:p>
      <w:pPr>
        <w:spacing w:before="0" w:after="0" w:line="20" w:lineRule="exact"/>
      </w:pPr>
      <w:r>
        <w:rPr>
          <w:rFonts w:ascii="Avenir Next Cyr" w:hAnsi="Avenir Next Cyr" w:eastAsia="Avenir Next Cyr" w:cs="Avenir Next Cyr"/>
          <w:color w:val="FFFFFF"/>
          <w:sz w:val="2"/>
        </w:rPr>
        <w:t xml:space="preserve"> 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rPr>
          <w:cantSplit/>
        </w:trPr>
        <w:tc>
          <w:tcPr>
            <w:tcW w:type="dxa" w:w="25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Статус</w:t>
            </w:r>
          </w:p>
        </w:tc>
        <w:tc>
          <w:tcPr>
            <w:tcW w:type="dxa" w:w="68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Выбран / отложен / требуется уточнение</w:t>
            </w:r>
          </w:p>
        </w:tc>
      </w:tr>
      <w:tr>
        <w:trPr>
          <w:cantSplit/>
        </w:trPr>
        <w:tc>
          <w:tcPr>
            <w:tcW w:type="dxa" w:w="25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Решение принял</w:t>
            </w:r>
          </w:p>
        </w:tc>
        <w:tc>
          <w:tcPr>
            <w:tcW w:type="dxa" w:w="68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ФИО / роль</w:t>
            </w:r>
          </w:p>
        </w:tc>
      </w:tr>
      <w:tr>
        <w:trPr>
          <w:cantSplit/>
        </w:trPr>
        <w:tc>
          <w:tcPr>
            <w:tcW w:type="dxa" w:w="25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Дата</w:t>
            </w:r>
          </w:p>
        </w:tc>
        <w:tc>
          <w:tcPr>
            <w:tcW w:type="dxa" w:w="68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 w:val="0"/>
                <w:color w:val="737373"/>
                <w:sz w:val="19"/>
              </w:rPr>
            </w:r>
          </w:p>
        </w:tc>
      </w:tr>
      <w:tr>
        <w:trPr>
          <w:cantSplit/>
        </w:trPr>
        <w:tc>
          <w:tcPr>
            <w:tcW w:type="dxa" w:w="2500"/>
            <w:shd w:fill="F8F9FA" w:val="clear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b/>
                <w:color w:val="003A49"/>
                <w:sz w:val="19"/>
              </w:rPr>
              <w:t>Следующий шаг</w:t>
            </w:r>
          </w:p>
        </w:tc>
        <w:tc>
          <w:tcPr>
            <w:tcW w:type="dxa" w:w="6860"/>
            <w:tcMar>
              <w:top w:w="90" w:type="dxa"/>
              <w:bottom w:w="90" w:type="dxa"/>
              <w:start w:w="120" w:type="dxa"/>
              <w:end w:w="120" w:type="dxa"/>
            </w:tcMar>
            <w:tcBorders>
              <w:top w:val="single" w:sz="4" w:space="0" w:color="E4E4E4"/>
              <w:left w:val="single" w:sz="4" w:space="0" w:color="E4E4E4"/>
              <w:bottom w:val="single" w:sz="4" w:space="0" w:color="E4E4E4"/>
              <w:right w:val="single" w:sz="4" w:space="0" w:color="E4E4E4"/>
              <w:insideH w:val="single" w:sz="4" w:space="0" w:color="E4E4E4"/>
              <w:insideV w:val="single" w:sz="4" w:space="0" w:color="E4E4E4"/>
            </w:tcBorders>
            <w:vAlign w:val="center"/>
          </w:tcPr>
          <w:p>
            <w:pPr>
              <w:keepNext w:val="0"/>
              <w:keepLines w:val="0"/>
              <w:spacing w:before="0" w:after="0" w:line="264" w:lineRule="auto"/>
            </w:pPr>
            <w:r>
              <w:rPr>
                <w:rFonts w:ascii="Avenir Next Cyr" w:hAnsi="Avenir Next Cyr" w:eastAsia="Avenir Next Cyr" w:cs="Avenir Next Cyr"/>
                <w:i/>
                <w:color w:val="737373"/>
                <w:sz w:val="19"/>
              </w:rPr>
              <w:t>Карта «как есть» / сбор данных / гемба</w:t>
            </w:r>
          </w:p>
        </w:tc>
      </w:tr>
    </w:tbl>
    <w:p>
      <w:pPr>
        <w:spacing w:before="0" w:after="0" w:line="20" w:lineRule="exact"/>
      </w:pPr>
      <w:r>
        <w:rPr>
          <w:rFonts w:ascii="Avenir Next Cyr" w:hAnsi="Avenir Next Cyr" w:eastAsia="Avenir Next Cyr" w:cs="Avenir Next Cyr"/>
          <w:color w:val="FFFFFF"/>
          <w:sz w:val="2"/>
        </w:rPr>
        <w:t xml:space="preserve"> 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keepLines w:val="0"/>
      <w:spacing w:before="0" w:after="0" w:line="240" w:lineRule="auto"/>
      <w:jc w:val="left"/>
      <w:pBdr>
        <w:bottom w:val="single" w:sz="8" w:space="2" w:color="E4E4E4"/>
      </w:pBdr>
    </w:pPr>
    <w:r/>
    <w:r>
      <w:rPr>
        <w:rFonts w:ascii="Avenir Next Cyr" w:hAnsi="Avenir Next Cyr" w:eastAsia="Avenir Next Cyr" w:cs="Avenir Next Cyr"/>
        <w:color w:val="737373"/>
        <w:sz w:val="17"/>
      </w:rPr>
      <w:t>CI CONSULT  ·  Управление бизнес-процессами</w:t>
    </w:r>
    <w:r>
      <w:rPr>
        <w:rFonts w:ascii="Avenir Next Cyr" w:hAnsi="Avenir Next Cyr" w:eastAsia="Avenir Next Cyr" w:cs="Avenir Next Cyr"/>
        <w:sz w:val="17"/>
      </w:rPr>
      <w:t xml:space="preserve">                                      </w:t>
    </w:r>
    <w:r>
      <w:rPr>
        <w:rFonts w:ascii="Avenir Next Cyr" w:hAnsi="Avenir Next Cyr" w:eastAsia="Avenir Next Cyr" w:cs="Avenir Next Cyr"/>
        <w:color w:val="737373"/>
        <w:sz w:val="17"/>
      </w:rPr>
      <w:t xml:space="preserve">Стр. </w:t>
    </w:r>
    <w:r>
      <w:fldChar w:fldCharType="begin"/>
    </w:r>
    <w:r>
      <w:instrText xml:space="preserve"> PAGE </w:instrText>
    </w:r>
    <w:r>
      <w:fldChar w:fldCharType="separate"/>
    </w:r>
    <w:r>
      <w:rPr>
        <w:rFonts w:ascii="Avenir Next Cyr" w:hAnsi="Avenir Next Cyr" w:eastAsia="Avenir Next Cyr" w:cs="Avenir Next Cyr"/>
        <w:color w:val="737373"/>
        <w:sz w:val="17"/>
      </w:rPr>
      <w:t>1</w:t>
    </w:r>
    <w:r>
      <w:rPr>
        <w:rFonts w:ascii="Avenir Next Cyr" w:hAnsi="Avenir Next Cyr" w:eastAsia="Avenir Next Cyr" w:cs="Avenir Next Cyr"/>
        <w:color w:val="737373"/>
        <w:sz w:val="17"/>
      </w:rPr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keepLines w:val="0"/>
      <w:spacing w:before="0" w:after="0" w:line="240" w:lineRule="auto"/>
    </w:pPr>
    <w:r/>
  </w:p>
  <w:tbl>
    <w:tblPr>
      <w:tblW w:type="dxa" w:w="9360"/>
      <w:tblLayout w:type="fixed"/>
      <w:tblLook w:firstColumn="1" w:firstRow="1" w:lastColumn="0" w:lastRow="0" w:noHBand="0" w:noVBand="1" w:val="04A0"/>
      <w:tblInd w:w="0" w:type="dxa"/>
    </w:tblPr>
    <w:tblGrid>
      <w:gridCol w:w="2400"/>
      <w:gridCol w:w="6960"/>
    </w:tblGrid>
    <w:tr>
      <w:tc>
        <w:tcPr>
          <w:tcW w:type="dxa" w:w="2400"/>
          <w:tcMar>
            <w:top w:w="0" w:type="dxa"/>
            <w:bottom w:w="0" w:type="dxa"/>
            <w:start w:w="0" w:type="dxa"/>
            <w:end w:w="0" w:type="dxa"/>
          </w:tcMar>
          <w:tcBorders>
            <w:top w:val="single" w:sz="0" w:space="0" w:color="FFFFFF"/>
            <w:left w:val="single" w:sz="0" w:space="0" w:color="FFFFFF"/>
            <w:bottom w:val="single" w:sz="0" w:space="0" w:color="FFFFFF"/>
            <w:right w:val="single" w:sz="0" w:space="0" w:color="FFFFFF"/>
            <w:insideH w:val="single" w:sz="0" w:space="0" w:color="FFFFFF"/>
            <w:insideV w:val="single" w:sz="0" w:space="0" w:color="FFFFFF"/>
          </w:tcBorders>
          <w:vAlign w:val="center"/>
        </w:tcPr>
        <w:p>
          <w:pPr>
            <w:spacing w:after="0"/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98448" cy="258391"/>
                <wp:docPr id="1" name="Picture 1" title="CI CONSULT" descr="Логотип CI CONSULT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-dark-blue-transpar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8448" cy="258391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6960"/>
          <w:tcMar>
            <w:top w:w="0" w:type="dxa"/>
            <w:bottom w:w="0" w:type="dxa"/>
            <w:start w:w="0" w:type="dxa"/>
            <w:end w:w="0" w:type="dxa"/>
          </w:tcMar>
          <w:tcBorders>
            <w:top w:val="single" w:sz="0" w:space="0" w:color="FFFFFF"/>
            <w:left w:val="single" w:sz="0" w:space="0" w:color="FFFFFF"/>
            <w:bottom w:val="single" w:sz="0" w:space="0" w:color="FFFFFF"/>
            <w:right w:val="single" w:sz="0" w:space="0" w:color="FFFFFF"/>
            <w:insideH w:val="single" w:sz="0" w:space="0" w:color="FFFFFF"/>
            <w:insideV w:val="single" w:sz="0" w:space="0" w:color="FFFFFF"/>
          </w:tcBorders>
          <w:vAlign w:val="center"/>
        </w:tcPr>
        <w:p>
          <w:pPr>
            <w:spacing w:after="0"/>
            <w:jc w:val="right"/>
            <w:pBdr>
              <w:bottom w:val="single" w:sz="8" w:space="2" w:color="00A3C2"/>
            </w:pBdr>
          </w:pPr>
          <w:r>
            <w:rPr>
              <w:rFonts w:ascii="Avenir Next Cyr" w:hAnsi="Avenir Next Cyr" w:eastAsia="Avenir Next Cyr" w:cs="Avenir Next Cyr"/>
              <w:b/>
              <w:color w:val="737373"/>
              <w:sz w:val="17"/>
            </w:rPr>
            <w:t>B01  ·  Карточка выбора процесса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0"/>
      </w:pPr>
      <w:rPr>
        <w:rFonts w:ascii="Avenir Next Cyr" w:hAnsi="Avenir Next Cyr"/>
      </w:r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0"/>
      </w:p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Avenir Next Cyr" w:hAnsi="Avenir Next Cyr" w:eastAsia="Avenir Next Cyr" w:cs="Avenir Next Cyr"/>
      <w:color w:val="003A49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59" w:lineRule="auto"/>
      <w:outlineLvl w:val="0"/>
    </w:pPr>
    <w:rPr>
      <w:rFonts w:asciiTheme="majorHAnsi" w:eastAsiaTheme="majorEastAsia" w:hAnsiTheme="majorHAnsi" w:cstheme="majorBidi" w:ascii="Avenir Next Cyr" w:hAnsi="Avenir Next Cyr" w:eastAsia="Avenir Next Cyr" w:cs="Avenir Next Cyr"/>
      <w:b/>
      <w:bCs/>
      <w:color w:val="003A49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59" w:lineRule="auto"/>
      <w:outlineLvl w:val="1"/>
    </w:pPr>
    <w:rPr>
      <w:rFonts w:asciiTheme="majorHAnsi" w:eastAsiaTheme="majorEastAsia" w:hAnsiTheme="majorHAnsi" w:cstheme="majorBidi" w:ascii="Avenir Next Cyr" w:hAnsi="Avenir Next Cyr" w:eastAsia="Avenir Next Cyr" w:cs="Avenir Next Cyr"/>
      <w:b/>
      <w:bCs/>
      <w:color w:val="007A9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59" w:lineRule="auto"/>
      <w:outlineLvl w:val="2"/>
    </w:pPr>
    <w:rPr>
      <w:rFonts w:asciiTheme="majorHAnsi" w:eastAsiaTheme="majorEastAsia" w:hAnsiTheme="majorHAnsi" w:cstheme="majorBidi" w:ascii="Avenir Next Cyr" w:hAnsi="Avenir Next Cyr" w:eastAsia="Avenir Next Cyr" w:cs="Avenir Next Cyr"/>
      <w:b/>
      <w:bCs/>
      <w:color w:val="003A49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ITitle">
    <w:name w:val="CI Title"/>
    <w:pPr>
      <w:keepNext/>
      <w:spacing w:before="80" w:after="140" w:line="240" w:lineRule="auto"/>
    </w:pPr>
    <w:rPr>
      <w:rFonts w:ascii="Avenir Next Cyr" w:hAnsi="Avenir Next Cyr" w:eastAsia="Avenir Next Cyr" w:cs="Avenir Next Cyr"/>
      <w:b/>
      <w:color w:val="003A49"/>
      <w:sz w:val="46"/>
    </w:rPr>
  </w:style>
  <w:style w:type="paragraph" w:customStyle="1" w:styleId="CISubtitle">
    <w:name w:val="CI Subtitle"/>
    <w:pPr>
      <w:spacing w:before="0" w:after="240" w:line="288" w:lineRule="auto"/>
    </w:pPr>
    <w:rPr>
      <w:rFonts w:ascii="Avenir Next Cyr" w:hAnsi="Avenir Next Cyr" w:eastAsia="Avenir Next Cyr" w:cs="Avenir Next Cyr"/>
      <w:color w:val="737373"/>
      <w:sz w:val="23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Карточка выбора процесса</dc:title>
  <dc:subject>Рабочий документ CI CONSULT по управлению бизнес-процессами</dc:subject>
  <dc:creator>CI CONSULT</dc:creator>
  <cp:keywords>CI CONSULT, бизнес-процессы, потери, улучшения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