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keepLines w:val="0"/>
        <w:spacing w:before="100" w:after="80" w:line="240" w:lineRule="auto"/>
      </w:pPr>
      <w:r>
        <w:rPr>
          <w:rFonts w:ascii="Avenir Next Cyr" w:hAnsi="Avenir Next Cyr" w:eastAsia="Avenir Next Cyr" w:cs="Avenir Next Cyr"/>
          <w:b/>
          <w:color w:val="E94840"/>
          <w:sz w:val="18"/>
        </w:rPr>
        <w:t>B07  ·  РАБОЧИЙ ИНСТРУМЕНТ</w:t>
      </w:r>
    </w:p>
    <w:p>
      <w:pPr>
        <w:pStyle w:val="CITitle"/>
      </w:pPr>
      <w:r>
        <w:t>Чек-лист семи видов потерь</w:t>
      </w:r>
    </w:p>
    <w:p>
      <w:pPr>
        <w:pStyle w:val="CISubtitle"/>
      </w:pPr>
      <w:r>
        <w:t>Классификация наблюдений в производственных, офисных и сервисных процессах</w:t>
      </w:r>
    </w:p>
    <w:p>
      <w:pPr>
        <w:keepNext w:val="0"/>
        <w:keepLines/>
        <w:spacing w:before="0" w:after="280" w:line="300" w:lineRule="auto"/>
        <w:shd w:fill="F8F9FA" w:val="clear"/>
        <w:pBdr>
          <w:left w:val="single" w:sz="20" w:space="8" w:color="007A92"/>
        </w:pBdr>
      </w:pPr>
      <w:r>
        <w:rPr>
          <w:rFonts w:ascii="Avenir Next Cyr" w:hAnsi="Avenir Next Cyr" w:eastAsia="Avenir Next Cyr" w:cs="Avenir Next Cyr"/>
          <w:b/>
          <w:color w:val="003A49"/>
          <w:sz w:val="21"/>
        </w:rPr>
        <w:t xml:space="preserve">Назначение. </w:t>
      </w:r>
      <w:r>
        <w:rPr>
          <w:rFonts w:ascii="Avenir Next Cyr" w:hAnsi="Avenir Next Cyr" w:eastAsia="Avenir Next Cyr" w:cs="Avenir Next Cyr"/>
          <w:color w:val="003A49"/>
          <w:sz w:val="21"/>
        </w:rPr>
        <w:t>Собрать доказательства действий и ожиданий, которые не создают ценности или ограничивают поток.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Процесс / этап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Дата среза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Аналитик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Источник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Карта / гемба / система / интервью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keepNext w:val="0"/>
        <w:keepLines/>
        <w:spacing w:before="80" w:after="200" w:line="300" w:lineRule="auto"/>
        <w:shd w:fill="F8F9FA" w:val="clear"/>
        <w:pBdr>
          <w:left w:val="single" w:sz="20" w:space="8" w:color="00A3C2"/>
        </w:pBdr>
      </w:pPr>
      <w:r>
        <w:rPr>
          <w:rFonts w:ascii="Avenir Next Cyr" w:hAnsi="Avenir Next Cyr" w:eastAsia="Avenir Next Cyr" w:cs="Avenir Next Cyr"/>
          <w:b/>
          <w:color w:val="00A3C2"/>
          <w:sz w:val="21"/>
        </w:rPr>
        <w:t xml:space="preserve">Шкала. </w:t>
      </w:r>
      <w:r>
        <w:rPr>
          <w:rFonts w:ascii="Avenir Next Cyr" w:hAnsi="Avenir Next Cyr" w:eastAsia="Avenir Next Cyr" w:cs="Avenir Next Cyr"/>
          <w:color w:val="003A49"/>
          <w:sz w:val="21"/>
        </w:rPr>
        <w:t>0 — не обнаружено; 1 — отдельный случай; 2 — повторяется; 3 — заметно влияет на срок, качество, затраты или пропускную способность.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480"/>
        <w:gridCol w:w="1600"/>
        <w:gridCol w:w="3260"/>
        <w:gridCol w:w="3020"/>
        <w:gridCol w:w="1000"/>
      </w:tblGrid>
      <w:tr>
        <w:trPr>
          <w:tblHeader w:val="true"/>
          <w:cantSplit/>
        </w:trPr>
        <w:tc>
          <w:tcPr>
            <w:tcW w:type="dxa" w:w="48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6"/>
              </w:rPr>
              <w:t>№</w:t>
            </w:r>
          </w:p>
        </w:tc>
        <w:tc>
          <w:tcPr>
            <w:tcW w:type="dxa" w:w="16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6"/>
              </w:rPr>
              <w:t>Потеря</w:t>
            </w:r>
          </w:p>
        </w:tc>
        <w:tc>
          <w:tcPr>
            <w:tcW w:type="dxa" w:w="326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6"/>
              </w:rPr>
              <w:t>Проверочный смысл</w:t>
            </w:r>
          </w:p>
        </w:tc>
        <w:tc>
          <w:tcPr>
            <w:tcW w:type="dxa" w:w="302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6"/>
              </w:rPr>
              <w:t>Типовые сигналы</w:t>
            </w:r>
          </w:p>
        </w:tc>
        <w:tc>
          <w:tcPr>
            <w:tcW w:type="dxa" w:w="10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6"/>
              </w:rPr>
              <w:t>0-3</w:t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01</w:t>
            </w:r>
          </w:p>
        </w:tc>
        <w:tc>
          <w:tcPr>
            <w:tcW w:type="dxa" w:w="16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Перепроизводство</w:t>
            </w:r>
          </w:p>
        </w:tc>
        <w:tc>
          <w:tcPr>
            <w:tcW w:type="dxa" w:w="32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Работа выполнена раньше или в большем объеме, чем требуется следующему участнику.</w:t>
            </w:r>
          </w:p>
        </w:tc>
        <w:tc>
          <w:tcPr>
            <w:tcW w:type="dxa" w:w="302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Лишние отчеты, копии, преждевременные партии</w:t>
            </w:r>
          </w:p>
        </w:tc>
        <w:tc>
          <w:tcPr>
            <w:tcW w:type="dxa" w:w="10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02</w:t>
            </w:r>
          </w:p>
        </w:tc>
        <w:tc>
          <w:tcPr>
            <w:tcW w:type="dxa" w:w="1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Ожидание</w:t>
            </w:r>
          </w:p>
        </w:tc>
        <w:tc>
          <w:tcPr>
            <w:tcW w:type="dxa" w:w="32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Объект не обрабатывается и ждет решения, данных, ресурса или передачи.</w:t>
            </w:r>
          </w:p>
        </w:tc>
        <w:tc>
          <w:tcPr>
            <w:tcW w:type="dxa" w:w="302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Очередь, подпись, доступ, ответ</w:t>
            </w:r>
          </w:p>
        </w:tc>
        <w:tc>
          <w:tcPr>
            <w:tcW w:type="dxa" w:w="1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03</w:t>
            </w:r>
          </w:p>
        </w:tc>
        <w:tc>
          <w:tcPr>
            <w:tcW w:type="dxa" w:w="16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Лишние передачи</w:t>
            </w:r>
          </w:p>
        </w:tc>
        <w:tc>
          <w:tcPr>
            <w:tcW w:type="dxa" w:w="32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Результат проходит ненужные маршруты, согласования или каналы.</w:t>
            </w:r>
          </w:p>
        </w:tc>
        <w:tc>
          <w:tcPr>
            <w:tcW w:type="dxa" w:w="302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Переадресация, ручная пересылка, лишний посредник</w:t>
            </w:r>
          </w:p>
        </w:tc>
        <w:tc>
          <w:tcPr>
            <w:tcW w:type="dxa" w:w="10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04</w:t>
            </w:r>
          </w:p>
        </w:tc>
        <w:tc>
          <w:tcPr>
            <w:tcW w:type="dxa" w:w="1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Избыточная обработка</w:t>
            </w:r>
          </w:p>
        </w:tc>
        <w:tc>
          <w:tcPr>
            <w:tcW w:type="dxa" w:w="32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Выполняются проверки или детализация сверх критерия приемки.</w:t>
            </w:r>
          </w:p>
        </w:tc>
        <w:tc>
          <w:tcPr>
            <w:tcW w:type="dxa" w:w="302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Повторная сверка, лишний формат, двойной ввод</w:t>
            </w:r>
          </w:p>
        </w:tc>
        <w:tc>
          <w:tcPr>
            <w:tcW w:type="dxa" w:w="1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05</w:t>
            </w:r>
          </w:p>
        </w:tc>
        <w:tc>
          <w:tcPr>
            <w:tcW w:type="dxa" w:w="16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Незавершенная работа</w:t>
            </w:r>
          </w:p>
        </w:tc>
        <w:tc>
          <w:tcPr>
            <w:tcW w:type="dxa" w:w="32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В потоке накапливается больше задач, чем система способна завершить.</w:t>
            </w:r>
          </w:p>
        </w:tc>
        <w:tc>
          <w:tcPr>
            <w:tcW w:type="dxa" w:w="302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Очереди, незакрытые заявки, полуфабрикаты</w:t>
            </w:r>
          </w:p>
        </w:tc>
        <w:tc>
          <w:tcPr>
            <w:tcW w:type="dxa" w:w="10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06</w:t>
            </w:r>
          </w:p>
        </w:tc>
        <w:tc>
          <w:tcPr>
            <w:tcW w:type="dxa" w:w="16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Дефекты и возвраты</w:t>
            </w:r>
          </w:p>
        </w:tc>
        <w:tc>
          <w:tcPr>
            <w:tcW w:type="dxa" w:w="32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Результат не принимается и требует исправления или повторной операции.</w:t>
            </w:r>
          </w:p>
        </w:tc>
        <w:tc>
          <w:tcPr>
            <w:tcW w:type="dxa" w:w="302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Неполный комплект, ошибка, неясное требование</w:t>
            </w:r>
          </w:p>
        </w:tc>
        <w:tc>
          <w:tcPr>
            <w:tcW w:type="dxa" w:w="1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07</w:t>
            </w:r>
          </w:p>
        </w:tc>
        <w:tc>
          <w:tcPr>
            <w:tcW w:type="dxa" w:w="16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Лишние движения</w:t>
            </w:r>
          </w:p>
        </w:tc>
        <w:tc>
          <w:tcPr>
            <w:tcW w:type="dxa" w:w="32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Люди ищут, переключаются или физически/цифрово перемещаются без ценности.</w:t>
            </w:r>
          </w:p>
        </w:tc>
        <w:tc>
          <w:tcPr>
            <w:tcW w:type="dxa" w:w="302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Поиск файла, переходы, копирование, смена систем</w:t>
            </w:r>
          </w:p>
        </w:tc>
        <w:tc>
          <w:tcPr>
            <w:tcW w:type="dxa" w:w="10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pStyle w:val="Heading1"/>
      </w:pPr>
      <w:r>
        <w:t>Журнал обнаруженных потерь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480"/>
        <w:gridCol w:w="1550"/>
        <w:gridCol w:w="2670"/>
        <w:gridCol w:w="1050"/>
        <w:gridCol w:w="1650"/>
        <w:gridCol w:w="1960"/>
      </w:tblGrid>
      <w:tr>
        <w:trPr>
          <w:tblHeader w:val="true"/>
          <w:cantSplit/>
        </w:trPr>
        <w:tc>
          <w:tcPr>
            <w:tcW w:type="dxa" w:w="48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6"/>
              </w:rPr>
              <w:t>№</w:t>
            </w:r>
          </w:p>
        </w:tc>
        <w:tc>
          <w:tcPr>
            <w:tcW w:type="dxa" w:w="155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6"/>
              </w:rPr>
              <w:t>Вид</w:t>
            </w:r>
          </w:p>
        </w:tc>
        <w:tc>
          <w:tcPr>
            <w:tcW w:type="dxa" w:w="267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6"/>
              </w:rPr>
              <w:t>Наблюдение</w:t>
            </w:r>
          </w:p>
        </w:tc>
        <w:tc>
          <w:tcPr>
            <w:tcW w:type="dxa" w:w="105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6"/>
              </w:rPr>
              <w:t>Частота</w:t>
            </w:r>
          </w:p>
        </w:tc>
        <w:tc>
          <w:tcPr>
            <w:tcW w:type="dxa" w:w="165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6"/>
              </w:rPr>
              <w:t>Влияние</w:t>
            </w:r>
          </w:p>
        </w:tc>
        <w:tc>
          <w:tcPr>
            <w:tcW w:type="dxa" w:w="196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6"/>
              </w:rPr>
              <w:t>Доказательство</w:t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1</w:t>
            </w:r>
          </w:p>
        </w:tc>
        <w:tc>
          <w:tcPr>
            <w:tcW w:type="dxa" w:w="15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67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0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6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9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2</w:t>
            </w:r>
          </w:p>
        </w:tc>
        <w:tc>
          <w:tcPr>
            <w:tcW w:type="dxa" w:w="15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67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0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6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9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3</w:t>
            </w:r>
          </w:p>
        </w:tc>
        <w:tc>
          <w:tcPr>
            <w:tcW w:type="dxa" w:w="15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67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0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6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9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4</w:t>
            </w:r>
          </w:p>
        </w:tc>
        <w:tc>
          <w:tcPr>
            <w:tcW w:type="dxa" w:w="15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67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0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6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9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5</w:t>
            </w:r>
          </w:p>
        </w:tc>
        <w:tc>
          <w:tcPr>
            <w:tcW w:type="dxa" w:w="15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67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0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6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9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6</w:t>
            </w:r>
          </w:p>
        </w:tc>
        <w:tc>
          <w:tcPr>
            <w:tcW w:type="dxa" w:w="15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67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0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6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9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7</w:t>
            </w:r>
          </w:p>
        </w:tc>
        <w:tc>
          <w:tcPr>
            <w:tcW w:type="dxa" w:w="15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67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0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6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9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pStyle w:val="Heading1"/>
      </w:pPr>
      <w:r>
        <w:t>Проверка приоритета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360"/>
      </w:tblGrid>
      <w:tr>
        <w:trPr>
          <w:cantSplit/>
        </w:trPr>
        <w:tc>
          <w:tcPr>
            <w:tcW w:type="dxa" w:w="3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Потеря с максимальным влиянием</w:t>
            </w:r>
          </w:p>
        </w:tc>
        <w:tc>
          <w:tcPr>
            <w:tcW w:type="dxa" w:w="63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3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Как влияет на следующий этап</w:t>
            </w:r>
          </w:p>
        </w:tc>
        <w:tc>
          <w:tcPr>
            <w:tcW w:type="dxa" w:w="63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Срок / качество / возврат / очередь</w:t>
            </w:r>
          </w:p>
        </w:tc>
      </w:tr>
      <w:tr>
        <w:trPr>
          <w:cantSplit/>
        </w:trPr>
        <w:tc>
          <w:tcPr>
            <w:tcW w:type="dxa" w:w="3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Повторяемый сценарий</w:t>
            </w:r>
          </w:p>
        </w:tc>
        <w:tc>
          <w:tcPr>
            <w:tcW w:type="dxa" w:w="63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Условие и категория задач</w:t>
            </w:r>
          </w:p>
        </w:tc>
      </w:tr>
      <w:tr>
        <w:trPr>
          <w:cantSplit/>
        </w:trPr>
        <w:tc>
          <w:tcPr>
            <w:tcW w:type="dxa" w:w="3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Предполагаемая причина</w:t>
            </w:r>
          </w:p>
        </w:tc>
        <w:tc>
          <w:tcPr>
            <w:tcW w:type="dxa" w:w="63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Пометить как гипотезу</w:t>
            </w:r>
          </w:p>
        </w:tc>
      </w:tr>
      <w:tr>
        <w:trPr>
          <w:cantSplit/>
        </w:trPr>
        <w:tc>
          <w:tcPr>
            <w:tcW w:type="dxa" w:w="3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Доказательство для проверки</w:t>
            </w:r>
          </w:p>
        </w:tc>
        <w:tc>
          <w:tcPr>
            <w:tcW w:type="dxa" w:w="63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Данные / повторное наблюдение / выборка</w:t>
            </w:r>
          </w:p>
        </w:tc>
      </w:tr>
      <w:tr>
        <w:trPr>
          <w:cantSplit/>
        </w:trPr>
        <w:tc>
          <w:tcPr>
            <w:tcW w:type="dxa" w:w="3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Первое безопасное изменение</w:t>
            </w:r>
          </w:p>
        </w:tc>
        <w:tc>
          <w:tcPr>
            <w:tcW w:type="dxa" w:w="63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Одно изменение, ограниченный scope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keepNext w:val="0"/>
        <w:keepLines/>
        <w:spacing w:before="80" w:after="200" w:line="300" w:lineRule="auto"/>
        <w:shd w:fill="F8F9FA" w:val="clear"/>
        <w:pBdr>
          <w:left w:val="single" w:sz="20" w:space="8" w:color="E94840"/>
        </w:pBdr>
      </w:pPr>
      <w:r>
        <w:rPr>
          <w:rFonts w:ascii="Avenir Next Cyr" w:hAnsi="Avenir Next Cyr" w:eastAsia="Avenir Next Cyr" w:cs="Avenir Next Cyr"/>
          <w:b/>
          <w:color w:val="E94840"/>
          <w:sz w:val="21"/>
        </w:rPr>
        <w:t xml:space="preserve">Ограничение. </w:t>
      </w:r>
      <w:r>
        <w:rPr>
          <w:rFonts w:ascii="Avenir Next Cyr" w:hAnsi="Avenir Next Cyr" w:eastAsia="Avenir Next Cyr" w:cs="Avenir Next Cyr"/>
          <w:color w:val="003A49"/>
          <w:sz w:val="21"/>
        </w:rPr>
        <w:t>Не каждая потеря является узким местом. Приоритет получает ограничение, изменение которого влияет на пропускную способность всего потока.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40" w:lineRule="auto"/>
      <w:jc w:val="left"/>
      <w:pBdr>
        <w:bottom w:val="single" w:sz="8" w:space="2" w:color="E4E4E4"/>
      </w:pBdr>
    </w:pPr>
    <w:r/>
    <w:r>
      <w:rPr>
        <w:rFonts w:ascii="Avenir Next Cyr" w:hAnsi="Avenir Next Cyr" w:eastAsia="Avenir Next Cyr" w:cs="Avenir Next Cyr"/>
        <w:color w:val="737373"/>
        <w:sz w:val="17"/>
      </w:rPr>
      <w:t>CI CONSULT  ·  Управление бизнес-процессами</w:t>
    </w:r>
    <w:r>
      <w:rPr>
        <w:rFonts w:ascii="Avenir Next Cyr" w:hAnsi="Avenir Next Cyr" w:eastAsia="Avenir Next Cyr" w:cs="Avenir Next Cyr"/>
        <w:sz w:val="17"/>
      </w:rPr>
      <w:t xml:space="preserve">                                      </w:t>
    </w:r>
    <w:r>
      <w:rPr>
        <w:rFonts w:ascii="Avenir Next Cyr" w:hAnsi="Avenir Next Cyr" w:eastAsia="Avenir Next Cyr" w:cs="Avenir Next Cyr"/>
        <w:color w:val="737373"/>
        <w:sz w:val="17"/>
      </w:rPr>
      <w:t xml:space="preserve">Стр. </w:t>
    </w:r>
    <w:r>
      <w:fldChar w:fldCharType="begin"/>
    </w:r>
    <w:r>
      <w:instrText xml:space="preserve"> PAGE </w:instrText>
    </w:r>
    <w:r>
      <w:fldChar w:fldCharType="separate"/>
    </w:r>
    <w:r>
      <w:rPr>
        <w:rFonts w:ascii="Avenir Next Cyr" w:hAnsi="Avenir Next Cyr" w:eastAsia="Avenir Next Cyr" w:cs="Avenir Next Cyr"/>
        <w:color w:val="737373"/>
        <w:sz w:val="17"/>
      </w:rPr>
      <w:t>1</w:t>
    </w:r>
    <w:r>
      <w:rPr>
        <w:rFonts w:ascii="Avenir Next Cyr" w:hAnsi="Avenir Next Cyr" w:eastAsia="Avenir Next Cyr" w:cs="Avenir Next Cyr"/>
        <w:color w:val="737373"/>
        <w:sz w:val="17"/>
      </w:rP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40" w:lineRule="auto"/>
    </w:pPr>
    <w:r/>
  </w:p>
  <w:tbl>
    <w:tblPr>
      <w:tblW w:type="dxa" w:w="9360"/>
      <w:tblLayout w:type="fixed"/>
      <w:tblLook w:firstColumn="1" w:firstRow="1" w:lastColumn="0" w:lastRow="0" w:noHBand="0" w:noVBand="1" w:val="04A0"/>
      <w:tblInd w:w="0" w:type="dxa"/>
    </w:tblPr>
    <w:tblGrid>
      <w:gridCol w:w="2400"/>
      <w:gridCol w:w="6960"/>
    </w:tblGrid>
    <w:tr>
      <w:tc>
        <w:tcPr>
          <w:tcW w:type="dxa" w:w="2400"/>
          <w:tcMar>
            <w:top w:w="0" w:type="dxa"/>
            <w:bottom w:w="0" w:type="dxa"/>
            <w:start w:w="0" w:type="dxa"/>
            <w:end w:w="0" w:type="dxa"/>
          </w:tcMar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cBorders>
          <w:vAlign w:val="center"/>
        </w:tcPr>
        <w:p>
          <w:pPr>
            <w:spacing w:after="0"/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8448" cy="258391"/>
                <wp:docPr id="1" name="Picture 1" title="CI CONSULT" descr="Логотип CI CONSULT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dark-blue-transpar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8448" cy="258391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960"/>
          <w:tcMar>
            <w:top w:w="0" w:type="dxa"/>
            <w:bottom w:w="0" w:type="dxa"/>
            <w:start w:w="0" w:type="dxa"/>
            <w:end w:w="0" w:type="dxa"/>
          </w:tcMar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cBorders>
          <w:vAlign w:val="center"/>
        </w:tcPr>
        <w:p>
          <w:pPr>
            <w:spacing w:after="0"/>
            <w:jc w:val="right"/>
            <w:pBdr>
              <w:bottom w:val="single" w:sz="8" w:space="2" w:color="00A3C2"/>
            </w:pBdr>
          </w:pPr>
          <w:r>
            <w:rPr>
              <w:rFonts w:ascii="Avenir Next Cyr" w:hAnsi="Avenir Next Cyr" w:eastAsia="Avenir Next Cyr" w:cs="Avenir Next Cyr"/>
              <w:b/>
              <w:color w:val="737373"/>
              <w:sz w:val="17"/>
            </w:rPr>
            <w:t>B07  ·  Чек-лист семи видов потерь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  <w:rPr>
        <w:rFonts w:ascii="Avenir Next Cyr" w:hAnsi="Avenir Next Cyr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venir Next Cyr" w:hAnsi="Avenir Next Cyr" w:eastAsia="Avenir Next Cyr" w:cs="Avenir Next Cyr"/>
      <w:color w:val="003A4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59" w:lineRule="auto"/>
      <w:outlineLvl w:val="0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3A4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59" w:lineRule="auto"/>
      <w:outlineLvl w:val="1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7A9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59" w:lineRule="auto"/>
      <w:outlineLvl w:val="2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3A4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ITitle">
    <w:name w:val="CI Title"/>
    <w:pPr>
      <w:keepNext/>
      <w:spacing w:before="80" w:after="140" w:line="240" w:lineRule="auto"/>
    </w:pPr>
    <w:rPr>
      <w:rFonts w:ascii="Avenir Next Cyr" w:hAnsi="Avenir Next Cyr" w:eastAsia="Avenir Next Cyr" w:cs="Avenir Next Cyr"/>
      <w:b/>
      <w:color w:val="003A49"/>
      <w:sz w:val="46"/>
    </w:rPr>
  </w:style>
  <w:style w:type="paragraph" w:customStyle="1" w:styleId="CISubtitle">
    <w:name w:val="CI Subtitle"/>
    <w:pPr>
      <w:spacing w:before="0" w:after="240" w:line="288" w:lineRule="auto"/>
    </w:pPr>
    <w:rPr>
      <w:rFonts w:ascii="Avenir Next Cyr" w:hAnsi="Avenir Next Cyr" w:eastAsia="Avenir Next Cyr" w:cs="Avenir Next Cyr"/>
      <w:color w:val="737373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Чек-лист семи видов потерь</dc:title>
  <dc:subject>Рабочий документ CI CONSULT по управлению бизнес-процессами</dc:subject>
  <dc:creator>CI CONSULT</dc:creator>
  <cp:keywords>CI CONSULT, бизнес-процессы, потери, улучшения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